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9162"/>
      </w:tblGrid>
      <w:tr w:rsidR="00BE732E" w:rsidRPr="00BE732E" w:rsidTr="00BE732E">
        <w:trPr>
          <w:tblCellSpacing w:w="15" w:type="dxa"/>
        </w:trPr>
        <w:tc>
          <w:tcPr>
            <w:tcW w:w="0" w:type="auto"/>
            <w:hideMark/>
          </w:tcPr>
          <w:p w:rsidR="00BE732E" w:rsidRPr="00BE732E" w:rsidRDefault="00BE732E" w:rsidP="00BE732E">
            <w:pPr>
              <w:spacing w:before="150" w:after="150" w:line="240" w:lineRule="auto"/>
              <w:outlineLvl w:val="0"/>
              <w:rPr>
                <w:rFonts w:ascii="Tahoma" w:eastAsia="Times New Roman" w:hAnsi="Tahoma" w:cs="Tahoma"/>
                <w:b/>
                <w:bCs/>
                <w:color w:val="838860"/>
                <w:kern w:val="36"/>
                <w:sz w:val="32"/>
                <w:szCs w:val="32"/>
                <w:lang w:eastAsia="tr-TR"/>
              </w:rPr>
            </w:pPr>
            <w:r w:rsidRPr="00BE732E">
              <w:rPr>
                <w:rFonts w:ascii="Tahoma" w:eastAsia="Times New Roman" w:hAnsi="Tahoma" w:cs="Tahoma"/>
                <w:b/>
                <w:bCs/>
                <w:color w:val="838860"/>
                <w:kern w:val="36"/>
                <w:sz w:val="32"/>
                <w:szCs w:val="32"/>
                <w:lang w:eastAsia="tr-TR"/>
              </w:rPr>
              <w:t>02. FIDE Rating Regulations (Qualification Commission)</w:t>
            </w:r>
          </w:p>
        </w:tc>
      </w:tr>
      <w:tr w:rsidR="00BE732E" w:rsidRPr="00BE732E" w:rsidTr="00BE732E">
        <w:trPr>
          <w:tblCellSpacing w:w="15"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Approved by the 1982 General Assembly, amended by the General Assemblies of 1984 through 2010</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4" w:history="1">
              <w:r w:rsidRPr="00BE732E">
                <w:rPr>
                  <w:rFonts w:ascii="Verdana" w:eastAsia="Times New Roman" w:hAnsi="Verdana" w:cs="Times New Roman"/>
                  <w:color w:val="49899C"/>
                  <w:sz w:val="17"/>
                  <w:lang w:eastAsia="tr-TR"/>
                </w:rPr>
                <w:t>0.0. Introduction</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5" w:history="1">
              <w:r w:rsidRPr="00BE732E">
                <w:rPr>
                  <w:rFonts w:ascii="Verdana" w:eastAsia="Times New Roman" w:hAnsi="Verdana" w:cs="Times New Roman"/>
                  <w:color w:val="49899C"/>
                  <w:sz w:val="17"/>
                  <w:lang w:eastAsia="tr-TR"/>
                </w:rPr>
                <w:t>1.0. Rate of Play</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6" w:history="1">
              <w:r w:rsidRPr="00BE732E">
                <w:rPr>
                  <w:rFonts w:ascii="Verdana" w:eastAsia="Times New Roman" w:hAnsi="Verdana" w:cs="Times New Roman"/>
                  <w:color w:val="49899C"/>
                  <w:sz w:val="17"/>
                  <w:lang w:eastAsia="tr-TR"/>
                </w:rPr>
                <w:t>2.0. Laws to be followed</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7" w:history="1">
              <w:r w:rsidRPr="00BE732E">
                <w:rPr>
                  <w:rFonts w:ascii="Verdana" w:eastAsia="Times New Roman" w:hAnsi="Verdana" w:cs="Times New Roman"/>
                  <w:color w:val="49899C"/>
                  <w:sz w:val="17"/>
                  <w:lang w:eastAsia="tr-TR"/>
                </w:rPr>
                <w:t>3.0. Number of rounds per day</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8" w:history="1">
              <w:r w:rsidRPr="00BE732E">
                <w:rPr>
                  <w:rFonts w:ascii="Verdana" w:eastAsia="Times New Roman" w:hAnsi="Verdana" w:cs="Times New Roman"/>
                  <w:color w:val="49899C"/>
                  <w:sz w:val="17"/>
                  <w:lang w:eastAsia="tr-TR"/>
                </w:rPr>
                <w:t>4.0. Duration of the event</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9" w:history="1">
              <w:r w:rsidRPr="00BE732E">
                <w:rPr>
                  <w:rFonts w:ascii="Verdana" w:eastAsia="Times New Roman" w:hAnsi="Verdana" w:cs="Times New Roman"/>
                  <w:color w:val="49899C"/>
                  <w:sz w:val="17"/>
                  <w:lang w:eastAsia="tr-TR"/>
                </w:rPr>
                <w:t>5.0. Unplayed games</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0" w:history="1">
              <w:r w:rsidRPr="00BE732E">
                <w:rPr>
                  <w:rFonts w:ascii="Verdana" w:eastAsia="Times New Roman" w:hAnsi="Verdana" w:cs="Times New Roman"/>
                  <w:color w:val="49899C"/>
                  <w:sz w:val="17"/>
                  <w:lang w:eastAsia="tr-TR"/>
                </w:rPr>
                <w:t>6.0. Composition of the tournament</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1" w:history="1">
              <w:r w:rsidRPr="00BE732E">
                <w:rPr>
                  <w:rFonts w:ascii="Verdana" w:eastAsia="Times New Roman" w:hAnsi="Verdana" w:cs="Times New Roman"/>
                  <w:color w:val="49899C"/>
                  <w:sz w:val="17"/>
                  <w:lang w:eastAsia="tr-TR"/>
                </w:rPr>
                <w:t>7.0. Official FIDE Rating List</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2" w:history="1">
              <w:r w:rsidRPr="00BE732E">
                <w:rPr>
                  <w:rFonts w:ascii="Verdana" w:eastAsia="Times New Roman" w:hAnsi="Verdana" w:cs="Times New Roman"/>
                  <w:color w:val="49899C"/>
                  <w:sz w:val="17"/>
                  <w:lang w:eastAsia="tr-TR"/>
                </w:rPr>
                <w:t>8.0. The working of the FIDE Rating System</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3" w:history="1">
              <w:r w:rsidRPr="00BE732E">
                <w:rPr>
                  <w:rFonts w:ascii="Verdana" w:eastAsia="Times New Roman" w:hAnsi="Verdana" w:cs="Times New Roman"/>
                  <w:color w:val="49899C"/>
                  <w:sz w:val="17"/>
                  <w:lang w:eastAsia="tr-TR"/>
                </w:rPr>
                <w:t>9.0. Reporting Procedures</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4" w:history="1">
              <w:r w:rsidRPr="00BE732E">
                <w:rPr>
                  <w:rFonts w:ascii="Verdana" w:eastAsia="Times New Roman" w:hAnsi="Verdana" w:cs="Times New Roman"/>
                  <w:color w:val="49899C"/>
                  <w:sz w:val="17"/>
                  <w:lang w:eastAsia="tr-TR"/>
                </w:rPr>
                <w:t>10.0. Monitoring the Operation of the Rating System</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5" w:history="1">
              <w:r w:rsidRPr="00BE732E">
                <w:rPr>
                  <w:rFonts w:ascii="Verdana" w:eastAsia="Times New Roman" w:hAnsi="Verdana" w:cs="Times New Roman"/>
                  <w:color w:val="49899C"/>
                  <w:sz w:val="17"/>
                  <w:lang w:eastAsia="tr-TR"/>
                </w:rPr>
                <w:t>11.0. The requirements for the FIDE Rating System Administrator</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6" w:history="1">
              <w:r w:rsidRPr="00BE732E">
                <w:rPr>
                  <w:rFonts w:ascii="Verdana" w:eastAsia="Times New Roman" w:hAnsi="Verdana" w:cs="Times New Roman"/>
                  <w:color w:val="49899C"/>
                  <w:sz w:val="17"/>
                  <w:lang w:eastAsia="tr-TR"/>
                </w:rPr>
                <w:t>12.0. Some comments on the Rating system</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hyperlink r:id="rId17" w:history="1">
              <w:r w:rsidRPr="00BE732E">
                <w:rPr>
                  <w:rFonts w:ascii="Verdana" w:eastAsia="Times New Roman" w:hAnsi="Verdana" w:cs="Times New Roman"/>
                  <w:color w:val="49899C"/>
                  <w:sz w:val="17"/>
                  <w:lang w:eastAsia="tr-TR"/>
                </w:rPr>
                <w:t>13.0. Inclusion in the Rating list.</w:t>
              </w:r>
            </w:hyperlink>
            <w:r w:rsidRPr="00BE732E">
              <w:rPr>
                <w:rFonts w:ascii="Verdana" w:eastAsia="Times New Roman" w:hAnsi="Verdana" w:cs="Times New Roman"/>
                <w:color w:val="494949"/>
                <w:sz w:val="17"/>
                <w:szCs w:val="17"/>
                <w:lang w:eastAsia="tr-TR"/>
              </w:rPr>
              <w:t xml:space="preserve"> </w:t>
            </w: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0.0. Introduction</w:t>
            </w:r>
          </w:p>
        </w:tc>
      </w:tr>
      <w:tr w:rsidR="00BE732E" w:rsidRPr="00BE732E" w:rsidTr="00BE732E">
        <w:trPr>
          <w:tblCellSpacing w:w="15" w:type="dxa"/>
        </w:trPr>
        <w:tc>
          <w:tcPr>
            <w:tcW w:w="0" w:type="auto"/>
            <w:tcMar>
              <w:top w:w="15" w:type="dxa"/>
              <w:left w:w="300"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8333"/>
            </w:tblGrid>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0.0</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Introduction </w:t>
                  </w:r>
                </w:p>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basic </w:t>
                  </w:r>
                  <w:proofErr w:type="gramStart"/>
                  <w:r w:rsidRPr="00BE732E">
                    <w:rPr>
                      <w:rFonts w:ascii="Verdana" w:eastAsia="Times New Roman" w:hAnsi="Verdana" w:cs="Times New Roman"/>
                      <w:color w:val="494949"/>
                      <w:sz w:val="17"/>
                      <w:szCs w:val="17"/>
                      <w:lang w:eastAsia="tr-TR"/>
                    </w:rPr>
                    <w:t>data</w:t>
                  </w:r>
                  <w:proofErr w:type="gramEnd"/>
                  <w:r w:rsidRPr="00BE732E">
                    <w:rPr>
                      <w:rFonts w:ascii="Verdana" w:eastAsia="Times New Roman" w:hAnsi="Verdana" w:cs="Times New Roman"/>
                      <w:color w:val="494949"/>
                      <w:sz w:val="17"/>
                      <w:szCs w:val="17"/>
                      <w:lang w:eastAsia="tr-TR"/>
                    </w:rPr>
                    <w:t xml:space="preserve"> for measurement of chess performances must be broad and ample. Play will be rated by FIDE when it takes place in a FIDE registered competition and meets all the following requirements.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following regulations shall be altered by the General Assembly upon recommendation of the Qualification Commission.</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Any such changes shall come into effect on 1st July of the year following the decision by the General Assembly. For tournaments, such changes will apply to those starting on or after that date.</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In principle, all important events should be rated. All top level tournaments may be rated by FIDE even if no rating report is submitted by the federation of the territory in which the event is held.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All official FIDE tournaments, as listed in the Handbook, are always rated. The organiser is responsible for sending the results and is also responsible for the fees.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0.4</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tournaments to be rated must be pre-registered by the federation that will be responsible for the sending of results and rating fees. The tournament must be registered one month before the tournament starts. The Qualification Commission Chairman may refuse to register an event. Also he may allow an event to be rated which has been registered less than one month before the tournament starts.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0.5</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right is reserved not to rate a specific event. The Chief Organizer of the event has the right to appeal to the Qualification Commission. Such an appeal must be made within seven days of communicating the decision.</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0.6</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Rating floor referred to in the following text is the minimum rating to be published, from </w:t>
                  </w:r>
                  <w:r w:rsidRPr="00BE732E">
                    <w:rPr>
                      <w:rFonts w:ascii="Verdana" w:eastAsia="Times New Roman" w:hAnsi="Verdana" w:cs="Times New Roman"/>
                      <w:color w:val="494949"/>
                      <w:sz w:val="17"/>
                      <w:szCs w:val="17"/>
                      <w:lang w:eastAsia="tr-TR"/>
                    </w:rPr>
                    <w:lastRenderedPageBreak/>
                    <w:t>1.7.2009 the floor will be 1200.</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r w:rsidR="00BE732E" w:rsidRPr="00BE732E" w:rsidTr="00BE732E">
        <w:trPr>
          <w:tblCellSpacing w:w="15" w:type="dxa"/>
        </w:trPr>
        <w:tc>
          <w:tcPr>
            <w:tcW w:w="0" w:type="auto"/>
            <w:tcMar>
              <w:top w:w="15" w:type="dxa"/>
              <w:left w:w="300"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lastRenderedPageBreak/>
              <w:t>1.0. Rate of Play</w:t>
            </w:r>
          </w:p>
        </w:tc>
      </w:tr>
      <w:tr w:rsidR="00BE732E" w:rsidRPr="00BE732E" w:rsidTr="00BE732E">
        <w:trPr>
          <w:tblCellSpacing w:w="15" w:type="dxa"/>
        </w:trPr>
        <w:tc>
          <w:tcPr>
            <w:tcW w:w="0" w:type="auto"/>
            <w:tcMar>
              <w:top w:w="15" w:type="dxa"/>
              <w:left w:w="300"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8333"/>
            </w:tblGrid>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1.0 </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Rate of Play</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a game to be rated each player must have the following minimum periods in which to complete all the moves, assuming the game lasts 60 moves.</w:t>
                  </w:r>
                  <w:r w:rsidRPr="00BE732E">
                    <w:rPr>
                      <w:rFonts w:ascii="Verdana" w:eastAsia="Times New Roman" w:hAnsi="Verdana" w:cs="Times New Roman"/>
                      <w:color w:val="494949"/>
                      <w:sz w:val="17"/>
                      <w:szCs w:val="17"/>
                      <w:lang w:eastAsia="tr-TR"/>
                    </w:rPr>
                    <w:br/>
                    <w:t>Where at least one of the players in the tournament has a rating 2200 or higher, each player must have a minimum of 120 minutes.</w:t>
                  </w:r>
                  <w:r w:rsidRPr="00BE732E">
                    <w:rPr>
                      <w:rFonts w:ascii="Verdana" w:eastAsia="Times New Roman" w:hAnsi="Verdana" w:cs="Times New Roman"/>
                      <w:color w:val="494949"/>
                      <w:sz w:val="17"/>
                      <w:szCs w:val="17"/>
                      <w:lang w:eastAsia="tr-TR"/>
                    </w:rPr>
                    <w:br/>
                    <w:t>Where at least one of the players in the tournament has a rating 1600 or higher, each player must have a minimum of 90 minutes.</w:t>
                  </w:r>
                  <w:r w:rsidRPr="00BE732E">
                    <w:rPr>
                      <w:rFonts w:ascii="Verdana" w:eastAsia="Times New Roman" w:hAnsi="Verdana" w:cs="Times New Roman"/>
                      <w:color w:val="494949"/>
                      <w:sz w:val="17"/>
                      <w:szCs w:val="17"/>
                      <w:lang w:eastAsia="tr-TR"/>
                    </w:rPr>
                    <w:br/>
                    <w:t>Where all the players in the tournament are rated below 1600, each player must have a minimum of 60 minutes.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Games played with all the moves at a rate faster than the above are excluded from the list.</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Where a certain number of moves is specified in the first time control, it shall be 40 moves. Players benefit from uniformity here.</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1509E5" w:rsidRDefault="00BE732E"/>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2.0. Laws to be followed</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9656"/>
            </w:tblGrid>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2.0 </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Laws to be followed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Play must take place according to the FIDE Laws of Chess. The federation may have minor deviations from the Laws of Chess, if approved by the Technical Commission.</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3.0. Number of rounds per day</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7604"/>
            </w:tblGrid>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3.0 </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Number of rounds per day</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No more than three rounds per day and a total playing time of no more than 12 hours.</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4.0. Duration of the event</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537"/>
              <w:gridCol w:w="9573"/>
            </w:tblGrid>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4.0</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Duration of the event </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tournaments, a period not greater than 90 days, except:</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4.11</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Leagues may be rated which last for a period greater than 90 days.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4.12</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Qualification Commission Chairman may approve the rating of tournaments lasting more than 90 days.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lastRenderedPageBreak/>
                    <w:t>4.13</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ratings used are the ratings at the </w:t>
                  </w:r>
                  <w:proofErr w:type="gramStart"/>
                  <w:r w:rsidRPr="00BE732E">
                    <w:rPr>
                      <w:rFonts w:ascii="Verdana" w:eastAsia="Times New Roman" w:hAnsi="Verdana" w:cs="Times New Roman"/>
                      <w:color w:val="494949"/>
                      <w:sz w:val="17"/>
                      <w:szCs w:val="17"/>
                      <w:lang w:eastAsia="tr-TR"/>
                    </w:rPr>
                    <w:t>start</w:t>
                  </w:r>
                  <w:proofErr w:type="gramEnd"/>
                  <w:r w:rsidRPr="00BE732E">
                    <w:rPr>
                      <w:rFonts w:ascii="Verdana" w:eastAsia="Times New Roman" w:hAnsi="Verdana" w:cs="Times New Roman"/>
                      <w:color w:val="494949"/>
                      <w:sz w:val="17"/>
                      <w:szCs w:val="17"/>
                      <w:lang w:eastAsia="tr-TR"/>
                    </w:rPr>
                    <w:t xml:space="preserve"> of the tournament; or if the games are reported period by period (or round by round), the actual ratings at the time of the game may be used.  The option must be chosen before the </w:t>
                  </w:r>
                  <w:proofErr w:type="gramStart"/>
                  <w:r w:rsidRPr="00BE732E">
                    <w:rPr>
                      <w:rFonts w:ascii="Verdana" w:eastAsia="Times New Roman" w:hAnsi="Verdana" w:cs="Times New Roman"/>
                      <w:color w:val="494949"/>
                      <w:sz w:val="17"/>
                      <w:szCs w:val="17"/>
                      <w:lang w:eastAsia="tr-TR"/>
                    </w:rPr>
                    <w:t>start</w:t>
                  </w:r>
                  <w:proofErr w:type="gramEnd"/>
                  <w:r w:rsidRPr="00BE732E">
                    <w:rPr>
                      <w:rFonts w:ascii="Verdana" w:eastAsia="Times New Roman" w:hAnsi="Verdana" w:cs="Times New Roman"/>
                      <w:color w:val="494949"/>
                      <w:sz w:val="17"/>
                      <w:szCs w:val="17"/>
                      <w:lang w:eastAsia="tr-TR"/>
                    </w:rPr>
                    <w:t xml:space="preserve"> of the first round. See B.01.1.16 for the equivalent rule</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5.0. Unplayed games</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9656"/>
            </w:tblGrid>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5.0</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Unplayed games </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Whether these occur because of forfeiture or any other reason, they are not counted. Any game where both players have made at least one move will be rated</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6.0. Composition of the tournament</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579"/>
              <w:gridCol w:w="9077"/>
            </w:tblGrid>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6.0</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Composition of the tournament </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6.1</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an unrated player scores zero or half in his first event, his score and that of his opponents against him are disregarded. But if the unrated player has previously achieved a rating performance above the rating floor, then this result is included in computing his overall rating.</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6.2</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results in events involving preliminaries and finals or play-offs may be</w:t>
                  </w:r>
                  <w:r w:rsidRPr="00BE732E">
                    <w:rPr>
                      <w:rFonts w:ascii="Verdana" w:eastAsia="Times New Roman" w:hAnsi="Verdana" w:cs="Times New Roman"/>
                      <w:b/>
                      <w:bCs/>
                      <w:color w:val="494949"/>
                      <w:sz w:val="17"/>
                      <w:lang w:eastAsia="tr-TR"/>
                    </w:rPr>
                    <w:t xml:space="preserve"> </w:t>
                  </w:r>
                  <w:r w:rsidRPr="00BE732E">
                    <w:rPr>
                      <w:rFonts w:ascii="Verdana" w:eastAsia="Times New Roman" w:hAnsi="Verdana" w:cs="Times New Roman"/>
                      <w:color w:val="494949"/>
                      <w:sz w:val="17"/>
                      <w:szCs w:val="17"/>
                      <w:lang w:eastAsia="tr-TR"/>
                    </w:rPr>
                    <w:t>pooled.</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6.3</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In a round robin tournament at least one-third of the players must be rated.</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6.31</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the event has less than 10 players, at least 4 must be rated.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6.32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In a double round tournament with unrated participants, there must be at least 6 players, 4 of whom must be rated.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6.33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National Championships played as round robins shall be rated if at least 3 men (or 2 women in events exclusively for women) participants had official FIDE Ratings before the </w:t>
                  </w:r>
                  <w:proofErr w:type="gramStart"/>
                  <w:r w:rsidRPr="00BE732E">
                    <w:rPr>
                      <w:rFonts w:ascii="Verdana" w:eastAsia="Times New Roman" w:hAnsi="Verdana" w:cs="Times New Roman"/>
                      <w:color w:val="494949"/>
                      <w:sz w:val="17"/>
                      <w:szCs w:val="17"/>
                      <w:lang w:eastAsia="tr-TR"/>
                    </w:rPr>
                    <w:t>start</w:t>
                  </w:r>
                  <w:proofErr w:type="gramEnd"/>
                  <w:r w:rsidRPr="00BE732E">
                    <w:rPr>
                      <w:rFonts w:ascii="Verdana" w:eastAsia="Times New Roman" w:hAnsi="Verdana" w:cs="Times New Roman"/>
                      <w:color w:val="494949"/>
                      <w:sz w:val="17"/>
                      <w:szCs w:val="17"/>
                      <w:lang w:eastAsia="tr-TR"/>
                    </w:rPr>
                    <w:t xml:space="preserve"> of the tournament.</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In a Swiss or team event:</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an unrated player’s performance to count he must play at least three games against rated opponents; score at least 1 point; and the rating based on the tournament result at its conclusion be above the rating floor.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rated players, only games against rated opponents are counted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In the case of a round robin tournament where one or more games are unplayed, the results of the tournament must be reported for rating as if for a Swiss system tournament.</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6.5</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Where a match is over a specific number of games, those played after one player has won shall not be rated.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6.6</w:t>
                  </w:r>
                </w:p>
              </w:tc>
              <w:tc>
                <w:tcPr>
                  <w:tcW w:w="0" w:type="auto"/>
                  <w:gridSpan w:val="2"/>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Matches in which one or both of the players are unrated shall not be rated</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lastRenderedPageBreak/>
              <w:t>7.0. Official FIDE Rating List</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left w:w="0" w:type="dxa"/>
                <w:right w:w="0" w:type="dxa"/>
              </w:tblCellMar>
              <w:tblLook w:val="04A0"/>
            </w:tblPr>
            <w:tblGrid>
              <w:gridCol w:w="454"/>
              <w:gridCol w:w="553"/>
              <w:gridCol w:w="540"/>
              <w:gridCol w:w="8563"/>
            </w:tblGrid>
            <w:tr w:rsidR="00BE732E" w:rsidRPr="00BE732E">
              <w:trPr>
                <w:tblCellSpacing w:w="0" w:type="dxa"/>
              </w:trPr>
              <w:tc>
                <w:tcPr>
                  <w:tcW w:w="0" w:type="auto"/>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7.0</w:t>
                  </w:r>
                </w:p>
              </w:tc>
              <w:tc>
                <w:tcPr>
                  <w:tcW w:w="0" w:type="auto"/>
                  <w:gridSpan w:val="3"/>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Official FIDE Rating List</w:t>
                  </w:r>
                </w:p>
              </w:tc>
            </w:tr>
            <w:tr w:rsidR="00BE732E" w:rsidRPr="00BE732E">
              <w:trPr>
                <w:tblCellSpacing w:w="0" w:type="dxa"/>
              </w:trPr>
              <w:tc>
                <w:tcPr>
                  <w:tcW w:w="0" w:type="auto"/>
                  <w:tcMar>
                    <w:top w:w="75" w:type="dxa"/>
                    <w:left w:w="75" w:type="dxa"/>
                    <w:bottom w:w="75" w:type="dxa"/>
                    <w:right w:w="7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w:t>
                  </w:r>
                </w:p>
              </w:tc>
              <w:tc>
                <w:tcPr>
                  <w:tcW w:w="0" w:type="auto"/>
                  <w:gridSpan w:val="3"/>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Qualification Commission shall prepare a list six times a year which incorporates the rated play during the rating period into the previous list. This shall be </w:t>
                  </w:r>
                  <w:proofErr w:type="gramStart"/>
                  <w:r w:rsidRPr="00BE732E">
                    <w:rPr>
                      <w:rFonts w:ascii="Verdana" w:eastAsia="Times New Roman" w:hAnsi="Verdana" w:cs="Times New Roman"/>
                      <w:color w:val="494949"/>
                      <w:sz w:val="17"/>
                      <w:szCs w:val="17"/>
                      <w:lang w:eastAsia="tr-TR"/>
                    </w:rPr>
                    <w:t>done</w:t>
                  </w:r>
                  <w:proofErr w:type="gramEnd"/>
                  <w:r w:rsidRPr="00BE732E">
                    <w:rPr>
                      <w:rFonts w:ascii="Verdana" w:eastAsia="Times New Roman" w:hAnsi="Verdana" w:cs="Times New Roman"/>
                      <w:color w:val="494949"/>
                      <w:sz w:val="17"/>
                      <w:szCs w:val="17"/>
                      <w:lang w:eastAsia="tr-TR"/>
                    </w:rPr>
                    <w:t xml:space="preserve"> using the rating system formula based on the percentage expectancy curve and derived from the normal distribution function of statistical and probability theory.</w:t>
                  </w:r>
                </w:p>
              </w:tc>
            </w:tr>
            <w:tr w:rsidR="00BE732E" w:rsidRPr="00BE732E">
              <w:trPr>
                <w:tblCellSpacing w:w="0" w:type="dxa"/>
              </w:trPr>
              <w:tc>
                <w:tcPr>
                  <w:tcW w:w="0" w:type="auto"/>
                  <w:tcMar>
                    <w:top w:w="75" w:type="dxa"/>
                    <w:left w:w="75" w:type="dxa"/>
                    <w:bottom w:w="75" w:type="dxa"/>
                    <w:right w:w="7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tcMar>
                    <w:top w:w="75" w:type="dxa"/>
                    <w:left w:w="75" w:type="dxa"/>
                    <w:bottom w:w="75" w:type="dxa"/>
                    <w:right w:w="7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7.11</w:t>
                  </w:r>
                </w:p>
              </w:tc>
              <w:tc>
                <w:tcPr>
                  <w:tcW w:w="0" w:type="auto"/>
                  <w:gridSpan w:val="2"/>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published rating lists are valid as follows:</w:t>
                  </w:r>
                </w:p>
                <w:tbl>
                  <w:tblPr>
                    <w:tblW w:w="0" w:type="auto"/>
                    <w:tblCellSpacing w:w="0" w:type="dxa"/>
                    <w:tblCellMar>
                      <w:top w:w="75" w:type="dxa"/>
                      <w:left w:w="75" w:type="dxa"/>
                      <w:bottom w:w="75" w:type="dxa"/>
                      <w:right w:w="75" w:type="dxa"/>
                    </w:tblCellMar>
                    <w:tblLook w:val="04A0"/>
                  </w:tblPr>
                  <w:tblGrid>
                    <w:gridCol w:w="2265"/>
                    <w:gridCol w:w="3825"/>
                  </w:tblGrid>
                  <w:tr w:rsidR="00BE732E" w:rsidRPr="00BE732E">
                    <w:trPr>
                      <w:tblCellSpacing w:w="0" w:type="dxa"/>
                    </w:trPr>
                    <w:tc>
                      <w:tcPr>
                        <w:tcW w:w="2265" w:type="dxa"/>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List published on</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Valid for events commencing on</w:t>
                        </w:r>
                      </w:p>
                    </w:tc>
                  </w:tr>
                  <w:tr w:rsidR="00BE732E" w:rsidRPr="00BE732E">
                    <w:trPr>
                      <w:tblCellSpacing w:w="0" w:type="dxa"/>
                    </w:trPr>
                    <w:tc>
                      <w:tcPr>
                        <w:tcW w:w="226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January</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January to 28 (29) February</w:t>
                        </w:r>
                      </w:p>
                    </w:tc>
                  </w:tr>
                  <w:tr w:rsidR="00BE732E" w:rsidRPr="00BE732E">
                    <w:trPr>
                      <w:tblCellSpacing w:w="0" w:type="dxa"/>
                    </w:trPr>
                    <w:tc>
                      <w:tcPr>
                        <w:tcW w:w="226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March</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March to 30 April</w:t>
                        </w:r>
                      </w:p>
                    </w:tc>
                  </w:tr>
                  <w:tr w:rsidR="00BE732E" w:rsidRPr="00BE732E">
                    <w:trPr>
                      <w:tblCellSpacing w:w="0" w:type="dxa"/>
                    </w:trPr>
                    <w:tc>
                      <w:tcPr>
                        <w:tcW w:w="226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May</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May to 30 June</w:t>
                        </w:r>
                      </w:p>
                    </w:tc>
                  </w:tr>
                  <w:tr w:rsidR="00BE732E" w:rsidRPr="00BE732E">
                    <w:trPr>
                      <w:tblCellSpacing w:w="0" w:type="dxa"/>
                    </w:trPr>
                    <w:tc>
                      <w:tcPr>
                        <w:tcW w:w="226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July</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July to 31 August</w:t>
                        </w:r>
                      </w:p>
                    </w:tc>
                  </w:tr>
                  <w:tr w:rsidR="00BE732E" w:rsidRPr="00BE732E">
                    <w:trPr>
                      <w:tblCellSpacing w:w="0" w:type="dxa"/>
                    </w:trPr>
                    <w:tc>
                      <w:tcPr>
                        <w:tcW w:w="226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September</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Septembert to 31 October</w:t>
                        </w:r>
                      </w:p>
                    </w:tc>
                  </w:tr>
                  <w:tr w:rsidR="00BE732E" w:rsidRPr="00BE732E">
                    <w:trPr>
                      <w:tblCellSpacing w:w="0" w:type="dxa"/>
                    </w:trPr>
                    <w:tc>
                      <w:tcPr>
                        <w:tcW w:w="226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November</w:t>
                        </w:r>
                      </w:p>
                    </w:tc>
                    <w:tc>
                      <w:tcPr>
                        <w:tcW w:w="382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 November to 31 December</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Rating period (see new players) is the period where a certain rating list is valid.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7.12</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following </w:t>
                  </w:r>
                  <w:proofErr w:type="gramStart"/>
                  <w:r w:rsidRPr="00BE732E">
                    <w:rPr>
                      <w:rFonts w:ascii="Verdana" w:eastAsia="Times New Roman" w:hAnsi="Verdana" w:cs="Times New Roman"/>
                      <w:color w:val="494949"/>
                      <w:sz w:val="17"/>
                      <w:szCs w:val="17"/>
                      <w:lang w:eastAsia="tr-TR"/>
                    </w:rPr>
                    <w:t>data</w:t>
                  </w:r>
                  <w:proofErr w:type="gramEnd"/>
                  <w:r w:rsidRPr="00BE732E">
                    <w:rPr>
                      <w:rFonts w:ascii="Verdana" w:eastAsia="Times New Roman" w:hAnsi="Verdana" w:cs="Times New Roman"/>
                      <w:color w:val="494949"/>
                      <w:sz w:val="17"/>
                      <w:szCs w:val="17"/>
                      <w:lang w:eastAsia="tr-TR"/>
                    </w:rPr>
                    <w:t xml:space="preserve"> concerning each player whose rating exceeds the floor</w:t>
                  </w:r>
                  <w:r w:rsidRPr="00BE732E">
                    <w:rPr>
                      <w:rFonts w:ascii="Verdana" w:eastAsia="Times New Roman" w:hAnsi="Verdana" w:cs="Times New Roman"/>
                      <w:b/>
                      <w:bCs/>
                      <w:color w:val="494949"/>
                      <w:sz w:val="17"/>
                      <w:lang w:eastAsia="tr-TR"/>
                    </w:rPr>
                    <w:t xml:space="preserve"> </w:t>
                  </w:r>
                  <w:r w:rsidRPr="00BE732E">
                    <w:rPr>
                      <w:rFonts w:ascii="Verdana" w:eastAsia="Times New Roman" w:hAnsi="Verdana" w:cs="Times New Roman"/>
                      <w:color w:val="494949"/>
                      <w:sz w:val="17"/>
                      <w:szCs w:val="17"/>
                      <w:lang w:eastAsia="tr-TR"/>
                    </w:rPr>
                    <w:t>as of the current list:</w:t>
                  </w:r>
                  <w:r w:rsidRPr="00BE732E">
                    <w:rPr>
                      <w:rFonts w:ascii="Verdana" w:eastAsia="Times New Roman" w:hAnsi="Verdana" w:cs="Times New Roman"/>
                      <w:color w:val="494949"/>
                      <w:sz w:val="17"/>
                      <w:szCs w:val="17"/>
                      <w:lang w:eastAsia="tr-TR"/>
                    </w:rPr>
                    <w:br/>
                    <w:t>FIDE title, Federation, Current Rating, ID Number, Number of games rated in the rating period, Year of Birth, gender and the current value of K for the player.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7.13</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closing date for tournaments for a list is 7 days before the date of the list; the tournaments ending before or on that day are rated on the list. </w:t>
                  </w:r>
                  <w:r w:rsidRPr="00BE732E">
                    <w:rPr>
                      <w:rFonts w:ascii="Verdana" w:eastAsia="Times New Roman" w:hAnsi="Verdana" w:cs="Times New Roman"/>
                      <w:color w:val="494949"/>
                      <w:sz w:val="17"/>
                      <w:szCs w:val="17"/>
                      <w:lang w:eastAsia="tr-TR"/>
                    </w:rPr>
                    <w:br/>
                    <w:t>Official competitions as listed in the FIDE Handbook are rated on the list even if they end on the last day before the list date.</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 rating for a player new to the list shall be published only if it meets the following criteria:</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7.14a</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based on results obtained under 6.3</w:t>
                  </w:r>
                  <w:proofErr w:type="gramStart"/>
                  <w:r w:rsidRPr="00BE732E">
                    <w:rPr>
                      <w:rFonts w:ascii="Verdana" w:eastAsia="Times New Roman" w:hAnsi="Verdana" w:cs="Times New Roman"/>
                      <w:color w:val="494949"/>
                      <w:sz w:val="17"/>
                      <w:szCs w:val="17"/>
                      <w:lang w:eastAsia="tr-TR"/>
                    </w:rPr>
                    <w:t>.,</w:t>
                  </w:r>
                  <w:proofErr w:type="gramEnd"/>
                  <w:r w:rsidRPr="00BE732E">
                    <w:rPr>
                      <w:rFonts w:ascii="Verdana" w:eastAsia="Times New Roman" w:hAnsi="Verdana" w:cs="Times New Roman"/>
                      <w:color w:val="494949"/>
                      <w:sz w:val="17"/>
                      <w:szCs w:val="17"/>
                      <w:lang w:eastAsia="tr-TR"/>
                    </w:rPr>
                    <w:t xml:space="preserve"> a minimum of 9 games.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7.14b</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based on results obtained under 6.4</w:t>
                  </w:r>
                  <w:proofErr w:type="gramStart"/>
                  <w:r w:rsidRPr="00BE732E">
                    <w:rPr>
                      <w:rFonts w:ascii="Verdana" w:eastAsia="Times New Roman" w:hAnsi="Verdana" w:cs="Times New Roman"/>
                      <w:color w:val="494949"/>
                      <w:sz w:val="17"/>
                      <w:szCs w:val="17"/>
                      <w:lang w:eastAsia="tr-TR"/>
                    </w:rPr>
                    <w:t>.,</w:t>
                  </w:r>
                  <w:proofErr w:type="gramEnd"/>
                  <w:r w:rsidRPr="00BE732E">
                    <w:rPr>
                      <w:rFonts w:ascii="Verdana" w:eastAsia="Times New Roman" w:hAnsi="Verdana" w:cs="Times New Roman"/>
                      <w:color w:val="494949"/>
                      <w:sz w:val="17"/>
                      <w:szCs w:val="17"/>
                      <w:lang w:eastAsia="tr-TR"/>
                    </w:rPr>
                    <w:t xml:space="preserve"> a minimum of 9 games played against rated opponents.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7.14c</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condition of a minimum of 9 games need not be met in one tournament: results from other events, played within rating periods of not more than two years, are pooled to obtain the initial rating.</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7.14d</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rating is at least the rating floor.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7.14e</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rating is calculated using all his results as if they were played in one tournament, but not published until he has played at least 9 games, then using all the rating </w:t>
                  </w:r>
                  <w:proofErr w:type="gramStart"/>
                  <w:r w:rsidRPr="00BE732E">
                    <w:rPr>
                      <w:rFonts w:ascii="Verdana" w:eastAsia="Times New Roman" w:hAnsi="Verdana" w:cs="Times New Roman"/>
                      <w:color w:val="494949"/>
                      <w:sz w:val="17"/>
                      <w:szCs w:val="17"/>
                      <w:lang w:eastAsia="tr-TR"/>
                    </w:rPr>
                    <w:t>data</w:t>
                  </w:r>
                  <w:proofErr w:type="gramEnd"/>
                  <w:r w:rsidRPr="00BE732E">
                    <w:rPr>
                      <w:rFonts w:ascii="Verdana" w:eastAsia="Times New Roman" w:hAnsi="Verdana" w:cs="Times New Roman"/>
                      <w:color w:val="494949"/>
                      <w:sz w:val="17"/>
                      <w:szCs w:val="17"/>
                      <w:lang w:eastAsia="tr-TR"/>
                    </w:rPr>
                    <w:t xml:space="preserve"> available.</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7.14f</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based on results obtained in the Olympiad, a Continental Team Championship or World Team Championship, a minimum of 7 games.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7.14g</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a player is a member of the IBCA, ICSC or IPCA, a minimum of 7 games.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w:t>
                  </w:r>
                </w:p>
              </w:tc>
              <w:tc>
                <w:tcPr>
                  <w:tcW w:w="0" w:type="auto"/>
                  <w:gridSpan w:val="3"/>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Players who are not to be included on the list:</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7.21</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Players whose ratings drop below the floor are listed on the next list as 'delisted'. Thereafter they are treated in the same manner as any other unrated player.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7.22</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Unrated titled players are published in a separate list concurrently with the list of rated titled players.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7.23</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Inactive players are not included on the list but nonetheless are considered rated at their most recent </w:t>
                  </w:r>
                  <w:r w:rsidRPr="00BE732E">
                    <w:rPr>
                      <w:rFonts w:ascii="Verdana" w:eastAsia="Times New Roman" w:hAnsi="Verdana" w:cs="Times New Roman"/>
                      <w:color w:val="494949"/>
                      <w:sz w:val="17"/>
                      <w:szCs w:val="17"/>
                      <w:lang w:eastAsia="tr-TR"/>
                    </w:rPr>
                    <w:lastRenderedPageBreak/>
                    <w:t>published rating for rating and title result purposes.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7.23a</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 player is considered to commence inactivity if he plays no rated games in a one year period.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7.23b</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Inactive players are shown on the next two years of rating lists after starting being considered inactive. Their names are then flagged as inactive in the alphabetical section of the rating list and removed from the national federation’s lists which contain only the list of active players.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7.23c</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 player regains his activity if he plays at least one rated game in a period and he is then listed on the next list.</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7.24</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the purposes of the FIDE rating list ranking of top players, a player who is inactive over a 12 month period of inactivity on the rating list will no longer appear on the top list.</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7.3</w:t>
                  </w:r>
                </w:p>
              </w:tc>
              <w:tc>
                <w:tcPr>
                  <w:tcW w:w="0" w:type="auto"/>
                  <w:gridSpan w:val="3"/>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Qualification Commission shall move to monthly rating lists on 1 July of the year following a decision to do so by the Presidential Board. The above regulations shall be amended as follows: The list published on the 1st day of the month shall be effective between the first and the last day of that month</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8.0. The working of the FIDE Rating System</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left w:w="0" w:type="dxa"/>
                <w:right w:w="0" w:type="dxa"/>
              </w:tblCellMar>
              <w:tblLook w:val="04A0"/>
            </w:tblPr>
            <w:tblGrid>
              <w:gridCol w:w="454"/>
              <w:gridCol w:w="389"/>
              <w:gridCol w:w="9267"/>
            </w:tblGrid>
            <w:tr w:rsidR="00BE732E" w:rsidRPr="00BE732E">
              <w:trPr>
                <w:tblCellSpacing w:w="0" w:type="dxa"/>
              </w:trPr>
              <w:tc>
                <w:tcPr>
                  <w:tcW w:w="0" w:type="auto"/>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8.0 </w:t>
                  </w:r>
                </w:p>
              </w:tc>
              <w:tc>
                <w:tcPr>
                  <w:tcW w:w="0" w:type="auto"/>
                  <w:gridSpan w:val="2"/>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The working of the FIDE Rating System</w:t>
                  </w:r>
                  <w:r w:rsidRPr="00BE732E">
                    <w:rPr>
                      <w:rFonts w:ascii="Verdana" w:eastAsia="Times New Roman" w:hAnsi="Verdana" w:cs="Times New Roman"/>
                      <w:color w:val="494949"/>
                      <w:sz w:val="17"/>
                      <w:szCs w:val="17"/>
                      <w:lang w:eastAsia="tr-TR"/>
                    </w:rPr>
                    <w:br/>
                    <w:t>The FIDE Rating system is a numerical system in which fractional scores are converted to rating differences and vice versa. Its function is to produce scientific measurement information of the best statistical quality.</w:t>
                  </w:r>
                </w:p>
              </w:tc>
            </w:tr>
            <w:tr w:rsidR="00BE732E" w:rsidRPr="00BE732E">
              <w:trPr>
                <w:tblCellSpacing w:w="0" w:type="dxa"/>
              </w:trPr>
              <w:tc>
                <w:tcPr>
                  <w:tcW w:w="0" w:type="auto"/>
                  <w:tcMar>
                    <w:top w:w="75" w:type="dxa"/>
                    <w:left w:w="75" w:type="dxa"/>
                    <w:bottom w:w="75" w:type="dxa"/>
                    <w:right w:w="75" w:type="dxa"/>
                  </w:tcMa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8.1</w:t>
                  </w:r>
                </w:p>
              </w:tc>
              <w:tc>
                <w:tcPr>
                  <w:tcW w:w="0" w:type="auto"/>
                  <w:gridSpan w:val="2"/>
                  <w:tcMar>
                    <w:top w:w="75" w:type="dxa"/>
                    <w:left w:w="75" w:type="dxa"/>
                    <w:bottom w:w="75" w:type="dxa"/>
                    <w:right w:w="7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rating scale is an arbitrary one with a class interval set at 200 points. The tables that follow show the conversion of fractional score 'p' into rating difference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xml:space="preserve">'. For a zero or </w:t>
                  </w:r>
                  <w:proofErr w:type="gramStart"/>
                  <w:r w:rsidRPr="00BE732E">
                    <w:rPr>
                      <w:rFonts w:ascii="Verdana" w:eastAsia="Times New Roman" w:hAnsi="Verdana" w:cs="Times New Roman"/>
                      <w:color w:val="494949"/>
                      <w:sz w:val="17"/>
                      <w:szCs w:val="17"/>
                      <w:lang w:eastAsia="tr-TR"/>
                    </w:rPr>
                    <w:t>1.0</w:t>
                  </w:r>
                  <w:proofErr w:type="gramEnd"/>
                  <w:r w:rsidRPr="00BE732E">
                    <w:rPr>
                      <w:rFonts w:ascii="Verdana" w:eastAsia="Times New Roman" w:hAnsi="Verdana" w:cs="Times New Roman"/>
                      <w:color w:val="494949"/>
                      <w:sz w:val="17"/>
                      <w:szCs w:val="17"/>
                      <w:lang w:eastAsia="tr-TR"/>
                    </w:rPr>
                    <w:t xml:space="preserve"> score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xml:space="preserve"> is necessarily indeterminate but is shown notionally as 800. The second table shows conversion of difference in rating 'D' into scoring probability 'P</w:t>
                  </w:r>
                  <w:r w:rsidRPr="00BE732E">
                    <w:rPr>
                      <w:rFonts w:ascii="Verdana" w:eastAsia="Times New Roman" w:hAnsi="Verdana" w:cs="Times New Roman"/>
                      <w:color w:val="494949"/>
                      <w:sz w:val="17"/>
                      <w:szCs w:val="17"/>
                      <w:vertAlign w:val="subscript"/>
                      <w:lang w:eastAsia="tr-TR"/>
                    </w:rPr>
                    <w:t>D</w:t>
                  </w:r>
                  <w:r w:rsidRPr="00BE732E">
                    <w:rPr>
                      <w:rFonts w:ascii="Verdana" w:eastAsia="Times New Roman" w:hAnsi="Verdana" w:cs="Times New Roman"/>
                      <w:color w:val="494949"/>
                      <w:sz w:val="17"/>
                      <w:szCs w:val="17"/>
                      <w:lang w:eastAsia="tr-TR"/>
                    </w:rPr>
                    <w:t>' for the higher 'H' and the lower 'L' rated player respectively. Thus the two tables are effectively mirror-images.</w:t>
                  </w:r>
                </w:p>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 The table of conversion from fractional score, p, into rating differences,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xml:space="preserve"> </w:t>
                  </w:r>
                </w:p>
                <w:tbl>
                  <w:tblPr>
                    <w:tblW w:w="0" w:type="auto"/>
                    <w:tblCellSpacing w:w="0" w:type="dxa"/>
                    <w:tblCellMar>
                      <w:top w:w="45" w:type="dxa"/>
                      <w:left w:w="45" w:type="dxa"/>
                      <w:bottom w:w="45" w:type="dxa"/>
                      <w:right w:w="45" w:type="dxa"/>
                    </w:tblCellMar>
                    <w:tblLook w:val="04A0"/>
                  </w:tblPr>
                  <w:tblGrid>
                    <w:gridCol w:w="570"/>
                    <w:gridCol w:w="705"/>
                    <w:gridCol w:w="570"/>
                    <w:gridCol w:w="705"/>
                    <w:gridCol w:w="570"/>
                    <w:gridCol w:w="570"/>
                    <w:gridCol w:w="570"/>
                    <w:gridCol w:w="705"/>
                    <w:gridCol w:w="570"/>
                    <w:gridCol w:w="705"/>
                    <w:gridCol w:w="570"/>
                    <w:gridCol w:w="705"/>
                  </w:tblGrid>
                  <w:tr w:rsidR="00BE732E" w:rsidRPr="00BE732E">
                    <w:trPr>
                      <w:tblCellSpacing w:w="0" w:type="dxa"/>
                    </w:trPr>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70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70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70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70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c>
                      <w:tcPr>
                        <w:tcW w:w="57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70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800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273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-296</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677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-309</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589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-322</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538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-158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-336</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-166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-351</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470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220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-175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-366</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444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-383</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422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-193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-401</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401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193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-422</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383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-444</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175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-220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-470</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166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-501</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336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158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-538</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322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.02</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-589</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lastRenderedPageBreak/>
                          <w:t>.86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309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.69</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.01</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-677</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.68</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-273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.00</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-800</w:t>
                        </w:r>
                      </w:p>
                    </w:tc>
                  </w:tr>
                  <w:tr w:rsidR="00BE732E" w:rsidRPr="00BE732E">
                    <w:trPr>
                      <w:tblCellSpacing w:w="0" w:type="dxa"/>
                    </w:trPr>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.84</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284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.67</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.33</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.16</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-284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70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(b) Table of conversion of difference in rating, D, into scoring probability P</w:t>
                  </w:r>
                  <w:r w:rsidRPr="00BE732E">
                    <w:rPr>
                      <w:rFonts w:ascii="Verdana" w:eastAsia="Times New Roman" w:hAnsi="Verdana" w:cs="Times New Roman"/>
                      <w:color w:val="494949"/>
                      <w:sz w:val="17"/>
                      <w:szCs w:val="17"/>
                      <w:vertAlign w:val="subscript"/>
                      <w:lang w:eastAsia="tr-TR"/>
                    </w:rPr>
                    <w:t>D</w:t>
                  </w:r>
                  <w:r w:rsidRPr="00BE732E">
                    <w:rPr>
                      <w:rFonts w:ascii="Verdana" w:eastAsia="Times New Roman" w:hAnsi="Verdana" w:cs="Times New Roman"/>
                      <w:color w:val="494949"/>
                      <w:sz w:val="17"/>
                      <w:szCs w:val="17"/>
                      <w:lang w:eastAsia="tr-TR"/>
                    </w:rPr>
                    <w:t>, for the higher, H, and the lower, L, rated player respectively.</w:t>
                  </w:r>
                </w:p>
                <w:tbl>
                  <w:tblPr>
                    <w:tblW w:w="0" w:type="auto"/>
                    <w:tblCellSpacing w:w="0" w:type="dxa"/>
                    <w:tblCellMar>
                      <w:top w:w="45" w:type="dxa"/>
                      <w:left w:w="45" w:type="dxa"/>
                      <w:bottom w:w="45" w:type="dxa"/>
                      <w:right w:w="45" w:type="dxa"/>
                    </w:tblCellMar>
                    <w:tblLook w:val="04A0"/>
                  </w:tblPr>
                  <w:tblGrid>
                    <w:gridCol w:w="990"/>
                    <w:gridCol w:w="570"/>
                    <w:gridCol w:w="450"/>
                    <w:gridCol w:w="975"/>
                    <w:gridCol w:w="570"/>
                    <w:gridCol w:w="570"/>
                    <w:gridCol w:w="1140"/>
                    <w:gridCol w:w="570"/>
                    <w:gridCol w:w="570"/>
                    <w:gridCol w:w="990"/>
                    <w:gridCol w:w="570"/>
                    <w:gridCol w:w="570"/>
                  </w:tblGrid>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w:t>
                        </w:r>
                        <w:r w:rsidRPr="00BE732E">
                          <w:rPr>
                            <w:rFonts w:ascii="Verdana" w:eastAsia="Times New Roman" w:hAnsi="Verdana" w:cs="Times New Roman"/>
                            <w:color w:val="494949"/>
                            <w:sz w:val="17"/>
                            <w:szCs w:val="17"/>
                            <w:vertAlign w:val="subscript"/>
                            <w:lang w:eastAsia="tr-TR"/>
                          </w:rPr>
                          <w:t>D</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w:t>
                        </w:r>
                        <w:r w:rsidRPr="00BE732E">
                          <w:rPr>
                            <w:rFonts w:ascii="Verdana" w:eastAsia="Times New Roman" w:hAnsi="Verdana" w:cs="Times New Roman"/>
                            <w:color w:val="494949"/>
                            <w:sz w:val="17"/>
                            <w:szCs w:val="17"/>
                            <w:vertAlign w:val="subscript"/>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w:t>
                        </w:r>
                        <w:r w:rsidRPr="00BE732E">
                          <w:rPr>
                            <w:rFonts w:ascii="Verdana" w:eastAsia="Times New Roman" w:hAnsi="Verdana" w:cs="Times New Roman"/>
                            <w:color w:val="494949"/>
                            <w:sz w:val="17"/>
                            <w:szCs w:val="17"/>
                            <w:vertAlign w:val="subscript"/>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w:t>
                        </w:r>
                        <w:r w:rsidRPr="00BE732E">
                          <w:rPr>
                            <w:rFonts w:ascii="Verdana" w:eastAsia="Times New Roman" w:hAnsi="Verdana" w:cs="Times New Roman"/>
                            <w:color w:val="494949"/>
                            <w:sz w:val="17"/>
                            <w:szCs w:val="17"/>
                            <w:vertAlign w:val="subscript"/>
                            <w:lang w:eastAsia="tr-TR"/>
                          </w:rPr>
                          <w:t>D</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Rtg Dif</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H</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L</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Rtg Dif</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H</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L</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Rtg Dif</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H</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L</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Rtg Dif</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H</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L</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.50</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92-98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.37</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198-206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345-357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.51</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.49</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99-106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207-215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358-374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11-17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.52</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.48</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107-113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216-225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.22</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375-391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.09</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18-25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.53</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.47</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114-121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.34</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226-235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392-411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.08</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26-32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.54</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.46</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122-129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.33</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236-245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412-432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.07</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33-39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.55</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.45</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130-137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.32</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246-256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.19</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433-456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.06</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40-46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.56</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.44</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138-145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.31</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257-267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457-484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.05</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47-53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.57</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.43</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146-153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.30</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268-278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.17</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485-517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.04</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54-61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.58</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.42</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154-162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279-290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.16</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518-559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.03</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62-68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.59</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.41</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163-170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.28</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291-302</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.15</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560-619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.02</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69-76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.60</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.40</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171-179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.27</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303-315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.86</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.14</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620-735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.99</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.01</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77-83</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.61</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.39</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180-188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316-328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&gt; 735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.00</w:t>
                        </w:r>
                      </w:p>
                    </w:tc>
                  </w:tr>
                  <w:tr w:rsidR="00BE732E" w:rsidRPr="00BE732E">
                    <w:trPr>
                      <w:tblCellSpacing w:w="0" w:type="dxa"/>
                    </w:trPr>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84-91</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.62</w:t>
                        </w:r>
                      </w:p>
                    </w:tc>
                    <w:tc>
                      <w:tcPr>
                        <w:tcW w:w="45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.38</w:t>
                        </w:r>
                      </w:p>
                    </w:tc>
                    <w:tc>
                      <w:tcPr>
                        <w:tcW w:w="97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189-197</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.75</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w:t>
                        </w:r>
                      </w:p>
                    </w:tc>
                    <w:tc>
                      <w:tcPr>
                        <w:tcW w:w="11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329-344</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.88</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w:t>
                        </w:r>
                      </w:p>
                    </w:tc>
                    <w:tc>
                      <w:tcPr>
                        <w:tcW w:w="9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57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lastRenderedPageBreak/>
                    <w:t>8.2</w:t>
                  </w:r>
                </w:p>
              </w:tc>
              <w:tc>
                <w:tcPr>
                  <w:tcW w:w="0" w:type="auto"/>
                  <w:gridSpan w:val="2"/>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Determining the Rating 'R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in a given event of a previously unrated player.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If an unrated player scores less than 1 point, or he plays fewer than 3 rated opponents in his first rated event, his score is disregarded. In the subsequent events all results, even a zero score, or fewer than 3 games against rated players, are accumulated to his initial ranking. (See </w:t>
                  </w:r>
                  <w:proofErr w:type="gramStart"/>
                  <w:r w:rsidRPr="00BE732E">
                    <w:rPr>
                      <w:rFonts w:ascii="Verdana" w:eastAsia="Times New Roman" w:hAnsi="Verdana" w:cs="Times New Roman"/>
                      <w:color w:val="494949"/>
                      <w:sz w:val="17"/>
                      <w:szCs w:val="17"/>
                      <w:lang w:eastAsia="tr-TR"/>
                    </w:rPr>
                    <w:t>8.3</w:t>
                  </w:r>
                  <w:proofErr w:type="gramEnd"/>
                  <w:r w:rsidRPr="00BE732E">
                    <w:rPr>
                      <w:rFonts w:ascii="Verdana" w:eastAsia="Times New Roman" w:hAnsi="Verdana" w:cs="Times New Roman"/>
                      <w:color w:val="494949"/>
                      <w:sz w:val="17"/>
                      <w:szCs w:val="17"/>
                      <w:lang w:eastAsia="tr-TR"/>
                    </w:rPr>
                    <w:t xml:space="preserve">)    </w:t>
                  </w:r>
                  <w:r w:rsidRPr="00BE732E">
                    <w:rPr>
                      <w:rFonts w:ascii="Verdana" w:eastAsia="Times New Roman" w:hAnsi="Verdana" w:cs="Times New Roman"/>
                      <w:color w:val="494949"/>
                      <w:sz w:val="17"/>
                      <w:szCs w:val="17"/>
                      <w:lang w:eastAsia="tr-TR"/>
                    </w:rPr>
                    <w:br/>
                    <w:t>First determine the average rating of his competition 'R</w:t>
                  </w:r>
                  <w:r w:rsidRPr="00BE732E">
                    <w:rPr>
                      <w:rFonts w:ascii="Verdana" w:eastAsia="Times New Roman" w:hAnsi="Verdana" w:cs="Times New Roman"/>
                      <w:color w:val="494949"/>
                      <w:sz w:val="17"/>
                      <w:szCs w:val="17"/>
                      <w:vertAlign w:val="subscript"/>
                      <w:lang w:eastAsia="tr-TR"/>
                    </w:rPr>
                    <w:t>c</w:t>
                  </w:r>
                  <w:r w:rsidRPr="00BE732E">
                    <w:rPr>
                      <w:rFonts w:ascii="Verdana" w:eastAsia="Times New Roman" w:hAnsi="Verdana" w:cs="Times New Roman"/>
                      <w:color w:val="494949"/>
                      <w:sz w:val="17"/>
                      <w:szCs w:val="17"/>
                      <w:lang w:eastAsia="tr-TR"/>
                    </w:rPr>
                    <w:t>'.</w:t>
                  </w:r>
                </w:p>
                <w:tbl>
                  <w:tblPr>
                    <w:tblW w:w="0" w:type="auto"/>
                    <w:tblCellSpacing w:w="15" w:type="dxa"/>
                    <w:tblCellMar>
                      <w:top w:w="15" w:type="dxa"/>
                      <w:left w:w="15" w:type="dxa"/>
                      <w:bottom w:w="15" w:type="dxa"/>
                      <w:right w:w="15" w:type="dxa"/>
                    </w:tblCellMar>
                    <w:tblLook w:val="04A0"/>
                  </w:tblPr>
                  <w:tblGrid>
                    <w:gridCol w:w="795"/>
                    <w:gridCol w:w="2075"/>
                    <w:gridCol w:w="6397"/>
                  </w:tblGrid>
                  <w:tr w:rsidR="00BE732E" w:rsidRPr="00BE732E">
                    <w:trPr>
                      <w:tblCellSpacing w:w="15" w:type="dxa"/>
                    </w:trPr>
                    <w:tc>
                      <w:tcPr>
                        <w:tcW w:w="750" w:type="dxa"/>
                        <w:vMerge w:val="restart"/>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gridSpan w:val="2"/>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(a) In a Swiss or Team tournament: this is simply the average rating of his opponents.      </w:t>
                        </w:r>
                        <w:r w:rsidRPr="00BE732E">
                          <w:rPr>
                            <w:rFonts w:ascii="Verdana" w:eastAsia="Times New Roman" w:hAnsi="Verdana" w:cs="Times New Roman"/>
                            <w:color w:val="494949"/>
                            <w:sz w:val="17"/>
                            <w:szCs w:val="17"/>
                            <w:lang w:eastAsia="tr-TR"/>
                          </w:rPr>
                          <w:br/>
                          <w:t>(b) The results of both rated and unrated players in a round robin tournament are taken into account. For unrated players, the average rating of the competition 'R</w:t>
                        </w:r>
                        <w:r w:rsidRPr="00BE732E">
                          <w:rPr>
                            <w:rFonts w:ascii="Verdana" w:eastAsia="Times New Roman" w:hAnsi="Verdana" w:cs="Times New Roman"/>
                            <w:color w:val="494949"/>
                            <w:sz w:val="17"/>
                            <w:szCs w:val="17"/>
                            <w:vertAlign w:val="subscript"/>
                            <w:lang w:eastAsia="tr-TR"/>
                          </w:rPr>
                          <w:t>c</w:t>
                        </w:r>
                        <w:r w:rsidRPr="00BE732E">
                          <w:rPr>
                            <w:rFonts w:ascii="Verdana" w:eastAsia="Times New Roman" w:hAnsi="Verdana" w:cs="Times New Roman"/>
                            <w:color w:val="494949"/>
                            <w:sz w:val="17"/>
                            <w:szCs w:val="17"/>
                            <w:lang w:eastAsia="tr-TR"/>
                          </w:rPr>
                          <w:t>' is also the tournament average 'R</w:t>
                        </w:r>
                        <w:r w:rsidRPr="00BE732E">
                          <w:rPr>
                            <w:rFonts w:ascii="Verdana" w:eastAsia="Times New Roman" w:hAnsi="Verdana" w:cs="Times New Roman"/>
                            <w:color w:val="494949"/>
                            <w:sz w:val="17"/>
                            <w:szCs w:val="17"/>
                            <w:vertAlign w:val="subscript"/>
                            <w:lang w:eastAsia="tr-TR"/>
                          </w:rPr>
                          <w:t>a</w:t>
                        </w:r>
                        <w:r w:rsidRPr="00BE732E">
                          <w:rPr>
                            <w:rFonts w:ascii="Verdana" w:eastAsia="Times New Roman" w:hAnsi="Verdana" w:cs="Times New Roman"/>
                            <w:color w:val="494949"/>
                            <w:sz w:val="17"/>
                            <w:szCs w:val="17"/>
                            <w:lang w:eastAsia="tr-TR"/>
                          </w:rPr>
                          <w:t>' determined as follows:</w:t>
                        </w:r>
                      </w:p>
                    </w:tc>
                  </w:tr>
                  <w:tr w:rsidR="00BE732E" w:rsidRPr="00BE732E">
                    <w:trPr>
                      <w:tblCellSpacing w:w="15" w:type="dxa"/>
                    </w:trPr>
                    <w:tc>
                      <w:tcPr>
                        <w:tcW w:w="0" w:type="auto"/>
                        <w:vMerge/>
                        <w:vAlign w:val="center"/>
                        <w:hideMark/>
                      </w:tcPr>
                      <w:p w:rsidR="00BE732E" w:rsidRPr="00BE732E" w:rsidRDefault="00BE732E" w:rsidP="00BE732E">
                        <w:pPr>
                          <w:spacing w:after="0" w:line="240" w:lineRule="auto"/>
                          <w:rPr>
                            <w:rFonts w:ascii="Verdana" w:eastAsia="Times New Roman" w:hAnsi="Verdana" w:cs="Times New Roman"/>
                            <w:color w:val="494949"/>
                            <w:sz w:val="17"/>
                            <w:szCs w:val="17"/>
                            <w:lang w:eastAsia="tr-TR"/>
                          </w:rPr>
                        </w:pPr>
                      </w:p>
                    </w:tc>
                    <w:tc>
                      <w:tcPr>
                        <w:tcW w:w="750" w:type="dxa"/>
                        <w:vAlign w:val="cente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0" w:type="auto"/>
                        <w:vAlign w:val="cente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  Determine the average rating of the rated players 'R</w:t>
                        </w:r>
                        <w:r w:rsidRPr="00BE732E">
                          <w:rPr>
                            <w:rFonts w:ascii="Verdana" w:eastAsia="Times New Roman" w:hAnsi="Verdana" w:cs="Times New Roman"/>
                            <w:color w:val="494949"/>
                            <w:sz w:val="17"/>
                            <w:szCs w:val="17"/>
                            <w:vertAlign w:val="subscript"/>
                            <w:lang w:eastAsia="tr-TR"/>
                          </w:rPr>
                          <w:t>ar</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br/>
                          <w:t>(ii) Determine p for each of the rated players against all their opponents.</w:t>
                        </w:r>
                        <w:r w:rsidRPr="00BE732E">
                          <w:rPr>
                            <w:rFonts w:ascii="Verdana" w:eastAsia="Times New Roman" w:hAnsi="Verdana" w:cs="Times New Roman"/>
                            <w:color w:val="494949"/>
                            <w:sz w:val="17"/>
                            <w:szCs w:val="17"/>
                            <w:lang w:eastAsia="tr-TR"/>
                          </w:rPr>
                          <w:br/>
                          <w:t>Then determine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xml:space="preserve"> for each of these players.</w:t>
                        </w:r>
                        <w:r w:rsidRPr="00BE732E">
                          <w:rPr>
                            <w:rFonts w:ascii="Verdana" w:eastAsia="Times New Roman" w:hAnsi="Verdana" w:cs="Times New Roman"/>
                            <w:color w:val="494949"/>
                            <w:sz w:val="17"/>
                            <w:szCs w:val="17"/>
                            <w:lang w:eastAsia="tr-TR"/>
                          </w:rPr>
                          <w:br/>
                          <w:t>Then determine the average of these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xml:space="preserve"> = 'd</w:t>
                        </w:r>
                        <w:r w:rsidRPr="00BE732E">
                          <w:rPr>
                            <w:rFonts w:ascii="Verdana" w:eastAsia="Times New Roman" w:hAnsi="Verdana" w:cs="Times New Roman"/>
                            <w:color w:val="494949"/>
                            <w:sz w:val="17"/>
                            <w:szCs w:val="17"/>
                            <w:vertAlign w:val="subscript"/>
                            <w:lang w:eastAsia="tr-TR"/>
                          </w:rPr>
                          <w:t>pa</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br/>
                          <w:t xml:space="preserve">(iii) 'n' is the number of opponents. </w:t>
                        </w:r>
                        <w:r w:rsidRPr="00BE732E">
                          <w:rPr>
                            <w:rFonts w:ascii="Verdana" w:eastAsia="Times New Roman" w:hAnsi="Verdana" w:cs="Times New Roman"/>
                            <w:color w:val="494949"/>
                            <w:sz w:val="17"/>
                            <w:szCs w:val="17"/>
                            <w:lang w:eastAsia="tr-TR"/>
                          </w:rPr>
                          <w:br/>
                          <w:t>R</w:t>
                        </w:r>
                        <w:r w:rsidRPr="00BE732E">
                          <w:rPr>
                            <w:rFonts w:ascii="Verdana" w:eastAsia="Times New Roman" w:hAnsi="Verdana" w:cs="Times New Roman"/>
                            <w:color w:val="494949"/>
                            <w:sz w:val="17"/>
                            <w:szCs w:val="17"/>
                            <w:vertAlign w:val="subscript"/>
                            <w:lang w:eastAsia="tr-TR"/>
                          </w:rPr>
                          <w:t>a</w:t>
                        </w:r>
                        <w:r w:rsidRPr="00BE732E">
                          <w:rPr>
                            <w:rFonts w:ascii="Verdana" w:eastAsia="Times New Roman" w:hAnsi="Verdana" w:cs="Times New Roman"/>
                            <w:color w:val="494949"/>
                            <w:sz w:val="17"/>
                            <w:szCs w:val="17"/>
                            <w:lang w:eastAsia="tr-TR"/>
                          </w:rPr>
                          <w:t xml:space="preserve"> = R</w:t>
                        </w:r>
                        <w:r w:rsidRPr="00BE732E">
                          <w:rPr>
                            <w:rFonts w:ascii="Verdana" w:eastAsia="Times New Roman" w:hAnsi="Verdana" w:cs="Times New Roman"/>
                            <w:color w:val="494949"/>
                            <w:sz w:val="17"/>
                            <w:szCs w:val="17"/>
                            <w:vertAlign w:val="subscript"/>
                            <w:lang w:eastAsia="tr-TR"/>
                          </w:rPr>
                          <w:t>ar</w:t>
                        </w:r>
                        <w:r w:rsidRPr="00BE732E">
                          <w:rPr>
                            <w:rFonts w:ascii="Verdana" w:eastAsia="Times New Roman" w:hAnsi="Verdana" w:cs="Times New Roman"/>
                            <w:color w:val="494949"/>
                            <w:sz w:val="17"/>
                            <w:szCs w:val="17"/>
                            <w:lang w:eastAsia="tr-TR"/>
                          </w:rPr>
                          <w:t xml:space="preserve"> - d</w:t>
                        </w:r>
                        <w:r w:rsidRPr="00BE732E">
                          <w:rPr>
                            <w:rFonts w:ascii="Verdana" w:eastAsia="Times New Roman" w:hAnsi="Verdana" w:cs="Times New Roman"/>
                            <w:color w:val="494949"/>
                            <w:sz w:val="17"/>
                            <w:szCs w:val="17"/>
                            <w:vertAlign w:val="subscript"/>
                            <w:lang w:eastAsia="tr-TR"/>
                          </w:rPr>
                          <w:t>pa</w:t>
                        </w:r>
                        <w:r w:rsidRPr="00BE732E">
                          <w:rPr>
                            <w:rFonts w:ascii="Verdana" w:eastAsia="Times New Roman" w:hAnsi="Verdana" w:cs="Times New Roman"/>
                            <w:color w:val="494949"/>
                            <w:sz w:val="17"/>
                            <w:szCs w:val="17"/>
                            <w:lang w:eastAsia="tr-TR"/>
                          </w:rPr>
                          <w:t xml:space="preserve"> x n/(n+1)</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8.22</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he scores 50%, then 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R</w:t>
                  </w:r>
                  <w:r w:rsidRPr="00BE732E">
                    <w:rPr>
                      <w:rFonts w:ascii="Verdana" w:eastAsia="Times New Roman" w:hAnsi="Verdana" w:cs="Times New Roman"/>
                      <w:color w:val="494949"/>
                      <w:sz w:val="17"/>
                      <w:szCs w:val="17"/>
                      <w:vertAlign w:val="subscript"/>
                      <w:lang w:eastAsia="tr-TR"/>
                    </w:rPr>
                    <w:t>a</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he scores more than 50%, then Ru = Ra + 15 for each half point scored over 50%</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8.24</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he scores less than 50% in a Swiss or team tournament:  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R</w:t>
                  </w:r>
                  <w:r w:rsidRPr="00BE732E">
                    <w:rPr>
                      <w:rFonts w:ascii="Verdana" w:eastAsia="Times New Roman" w:hAnsi="Verdana" w:cs="Times New Roman"/>
                      <w:color w:val="494949"/>
                      <w:sz w:val="17"/>
                      <w:szCs w:val="17"/>
                      <w:vertAlign w:val="subscript"/>
                      <w:lang w:eastAsia="tr-TR"/>
                    </w:rPr>
                    <w:t>c</w:t>
                  </w:r>
                  <w:r w:rsidRPr="00BE732E">
                    <w:rPr>
                      <w:rFonts w:ascii="Verdana" w:eastAsia="Times New Roman" w:hAnsi="Verdana" w:cs="Times New Roman"/>
                      <w:color w:val="494949"/>
                      <w:sz w:val="17"/>
                      <w:szCs w:val="17"/>
                      <w:lang w:eastAsia="tr-TR"/>
                    </w:rPr>
                    <w:t xml:space="preserve"> +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8.25</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he scores less than 50% in a round-robin: 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R</w:t>
                  </w:r>
                  <w:r w:rsidRPr="00BE732E">
                    <w:rPr>
                      <w:rFonts w:ascii="Verdana" w:eastAsia="Times New Roman" w:hAnsi="Verdana" w:cs="Times New Roman"/>
                      <w:color w:val="494949"/>
                      <w:sz w:val="17"/>
                      <w:szCs w:val="17"/>
                      <w:vertAlign w:val="subscript"/>
                      <w:lang w:eastAsia="tr-TR"/>
                    </w:rPr>
                    <w:t>a</w:t>
                  </w:r>
                  <w:r w:rsidRPr="00BE732E">
                    <w:rPr>
                      <w:rFonts w:ascii="Verdana" w:eastAsia="Times New Roman" w:hAnsi="Verdana" w:cs="Times New Roman"/>
                      <w:color w:val="494949"/>
                      <w:sz w:val="17"/>
                      <w:szCs w:val="17"/>
                      <w:lang w:eastAsia="tr-TR"/>
                    </w:rPr>
                    <w:t xml:space="preserve"> + d</w:t>
                  </w:r>
                  <w:r w:rsidRPr="00BE732E">
                    <w:rPr>
                      <w:rFonts w:ascii="Verdana" w:eastAsia="Times New Roman" w:hAnsi="Verdana" w:cs="Times New Roman"/>
                      <w:color w:val="494949"/>
                      <w:sz w:val="17"/>
                      <w:szCs w:val="17"/>
                      <w:vertAlign w:val="subscript"/>
                      <w:lang w:eastAsia="tr-TR"/>
                    </w:rPr>
                    <w:t>p</w:t>
                  </w:r>
                  <w:r w:rsidRPr="00BE732E">
                    <w:rPr>
                      <w:rFonts w:ascii="Verdana" w:eastAsia="Times New Roman" w:hAnsi="Verdana" w:cs="Times New Roman"/>
                      <w:color w:val="494949"/>
                      <w:sz w:val="17"/>
                      <w:szCs w:val="17"/>
                      <w:lang w:eastAsia="tr-TR"/>
                    </w:rPr>
                    <w:t xml:space="preserve"> x n/(n+1).</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w:t>
                  </w:r>
                </w:p>
              </w:tc>
              <w:tc>
                <w:tcPr>
                  <w:tcW w:w="0" w:type="auto"/>
                  <w:gridSpan w:val="2"/>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Rating R</w:t>
                  </w:r>
                  <w:r w:rsidRPr="00BE732E">
                    <w:rPr>
                      <w:rFonts w:ascii="Verdana" w:eastAsia="Times New Roman" w:hAnsi="Verdana" w:cs="Times New Roman"/>
                      <w:color w:val="494949"/>
                      <w:sz w:val="17"/>
                      <w:szCs w:val="17"/>
                      <w:vertAlign w:val="subscript"/>
                      <w:lang w:eastAsia="tr-TR"/>
                    </w:rPr>
                    <w:t>n</w:t>
                  </w:r>
                  <w:r w:rsidRPr="00BE732E">
                    <w:rPr>
                      <w:rFonts w:ascii="Verdana" w:eastAsia="Times New Roman" w:hAnsi="Verdana" w:cs="Times New Roman"/>
                      <w:color w:val="494949"/>
                      <w:sz w:val="17"/>
                      <w:szCs w:val="17"/>
                      <w:lang w:eastAsia="tr-TR"/>
                    </w:rPr>
                    <w:t xml:space="preserve"> which is to be published for a previously unrated player is then determined as if the new player had played all his games so far in one tournament. The initial rating is calculated using the total score against all opponents.</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8.31</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Where a player’s first result(s) is less than the FIDE rating floor at the time of the event, the result(s) is ignored.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8.32</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n</w:t>
                  </w:r>
                  <w:r w:rsidRPr="00BE732E">
                    <w:rPr>
                      <w:rFonts w:ascii="Verdana" w:eastAsia="Times New Roman" w:hAnsi="Verdana" w:cs="Times New Roman"/>
                      <w:color w:val="494949"/>
                      <w:sz w:val="17"/>
                      <w:szCs w:val="17"/>
                      <w:lang w:eastAsia="tr-TR"/>
                    </w:rPr>
                    <w:t xml:space="preserve"> for the FIDE Rating list (FRL) is rounded off to the nearest 1 or zero. 0.5 is rounded up.</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8.33</w:t>
                  </w: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Only R</w:t>
                  </w:r>
                  <w:r w:rsidRPr="00BE732E">
                    <w:rPr>
                      <w:rFonts w:ascii="Verdana" w:eastAsia="Times New Roman" w:hAnsi="Verdana" w:cs="Times New Roman"/>
                      <w:color w:val="494949"/>
                      <w:sz w:val="17"/>
                      <w:szCs w:val="17"/>
                      <w:vertAlign w:val="subscript"/>
                      <w:lang w:eastAsia="tr-TR"/>
                    </w:rPr>
                    <w:t>n</w:t>
                  </w:r>
                  <w:r w:rsidRPr="00BE732E">
                    <w:rPr>
                      <w:rFonts w:ascii="Verdana" w:eastAsia="Times New Roman" w:hAnsi="Verdana" w:cs="Times New Roman"/>
                      <w:color w:val="494949"/>
                      <w:sz w:val="17"/>
                      <w:szCs w:val="17"/>
                      <w:lang w:eastAsia="tr-TR"/>
                    </w:rPr>
                    <w:t xml:space="preserve"> ≥ the FIDE rating floor at the time of the event, are considered.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8.34</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Example: An unrated player has played 3 games in a tournament against rated players with average rating of 2220, score 1/3; then in another tournament 5 games against rated players with the average of 2150, score 3/5; and then in a third tournament 4 games against rated players with average rating 2200, score 2½/4.          </w:t>
                  </w:r>
                  <w:r w:rsidRPr="00BE732E">
                    <w:rPr>
                      <w:rFonts w:ascii="Verdana" w:eastAsia="Times New Roman" w:hAnsi="Verdana" w:cs="Times New Roman"/>
                      <w:color w:val="494949"/>
                      <w:sz w:val="17"/>
                      <w:szCs w:val="17"/>
                      <w:lang w:eastAsia="tr-TR"/>
                    </w:rPr>
                    <w:br/>
                    <w:t>The players initial rating is calculated as if he had played 12 games with a score 6½/12.</w:t>
                  </w:r>
                  <w:r w:rsidRPr="00BE732E">
                    <w:rPr>
                      <w:rFonts w:ascii="Verdana" w:eastAsia="Times New Roman" w:hAnsi="Verdana" w:cs="Times New Roman"/>
                      <w:color w:val="494949"/>
                      <w:sz w:val="17"/>
                      <w:szCs w:val="17"/>
                      <w:lang w:eastAsia="tr-TR"/>
                    </w:rPr>
                    <w:br/>
                    <w:t xml:space="preserve">The average rating of all opponents is </w:t>
                  </w:r>
                  <w:r w:rsidRPr="00BE732E">
                    <w:rPr>
                      <w:rFonts w:ascii="Verdana" w:eastAsia="Times New Roman" w:hAnsi="Verdana" w:cs="Times New Roman"/>
                      <w:color w:val="494949"/>
                      <w:sz w:val="17"/>
                      <w:szCs w:val="17"/>
                      <w:lang w:eastAsia="tr-TR"/>
                    </w:rPr>
                    <w:br/>
                    <w:t>(3 x 2220 + 5 x 2150 + 4 x 2200) / 12 = 2184</w:t>
                  </w:r>
                  <w:r w:rsidRPr="00BE732E">
                    <w:rPr>
                      <w:rFonts w:ascii="Verdana" w:eastAsia="Times New Roman" w:hAnsi="Verdana" w:cs="Times New Roman"/>
                      <w:color w:val="494949"/>
                      <w:sz w:val="17"/>
                      <w:szCs w:val="17"/>
                      <w:lang w:eastAsia="tr-TR"/>
                    </w:rPr>
                    <w:br/>
                    <w:t>The result is 6½/12, it is half a point over 50 percent.</w:t>
                  </w:r>
                  <w:proofErr w:type="gramEnd"/>
                  <w:r w:rsidRPr="00BE732E">
                    <w:rPr>
                      <w:rFonts w:ascii="Verdana" w:eastAsia="Times New Roman" w:hAnsi="Verdana" w:cs="Times New Roman"/>
                      <w:color w:val="494949"/>
                      <w:sz w:val="17"/>
                      <w:szCs w:val="17"/>
                      <w:lang w:eastAsia="tr-TR"/>
                    </w:rPr>
                    <w:br/>
                    <w:t>The new player’s first published rating is 2184 + 15 = 2199</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8.4</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an unrated player receives a published rating before a particular tournament in which he has played is rated, then he is rated as a rated player with his current rating, but in the rating of his opponents he is counted as an unrated player.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w:t>
                  </w:r>
                </w:p>
              </w:tc>
              <w:tc>
                <w:tcPr>
                  <w:tcW w:w="0" w:type="auto"/>
                  <w:gridSpan w:val="2"/>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Determining the rating change for a rated player</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each game played against a rated player, determine the difference in rating between the player and his opponent, 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If the opponent is unrated, then the rating is determined at the end of the event. This applies only to round-robin tournaments. In the Swiss tournaments the games against unrated opponents are not rated. </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provisional ratings of unrated players obtained from earlier tournaments are ignored.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8.54</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 difference in rating of more than 400 points shall be counted for rating purposes as though it were a difference of 400 points (compare 8.58).</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8.55</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(a) Use table </w:t>
                  </w:r>
                  <w:proofErr w:type="gramStart"/>
                  <w:r w:rsidRPr="00BE732E">
                    <w:rPr>
                      <w:rFonts w:ascii="Verdana" w:eastAsia="Times New Roman" w:hAnsi="Verdana" w:cs="Times New Roman"/>
                      <w:color w:val="494949"/>
                      <w:sz w:val="17"/>
                      <w:szCs w:val="17"/>
                      <w:lang w:eastAsia="tr-TR"/>
                    </w:rPr>
                    <w:t>8.1</w:t>
                  </w:r>
                  <w:proofErr w:type="gramEnd"/>
                  <w:r w:rsidRPr="00BE732E">
                    <w:rPr>
                      <w:rFonts w:ascii="Verdana" w:eastAsia="Times New Roman" w:hAnsi="Verdana" w:cs="Times New Roman"/>
                      <w:color w:val="494949"/>
                      <w:sz w:val="17"/>
                      <w:szCs w:val="17"/>
                      <w:lang w:eastAsia="tr-TR"/>
                    </w:rPr>
                    <w:t>(b) to determine the player’s score probability P</w:t>
                  </w:r>
                  <w:r w:rsidRPr="00BE732E">
                    <w:rPr>
                      <w:rFonts w:ascii="Verdana" w:eastAsia="Times New Roman" w:hAnsi="Verdana" w:cs="Times New Roman"/>
                      <w:color w:val="494949"/>
                      <w:sz w:val="17"/>
                      <w:szCs w:val="17"/>
                      <w:vertAlign w:val="subscript"/>
                      <w:lang w:eastAsia="tr-TR"/>
                    </w:rPr>
                    <w:t>D</w:t>
                  </w:r>
                  <w:r w:rsidRPr="00BE732E">
                    <w:rPr>
                      <w:rFonts w:ascii="Verdana" w:eastAsia="Times New Roman" w:hAnsi="Verdana" w:cs="Times New Roman"/>
                      <w:color w:val="494949"/>
                      <w:sz w:val="17"/>
                      <w:szCs w:val="17"/>
                      <w:lang w:eastAsia="tr-TR"/>
                    </w:rPr>
                    <w:br/>
                    <w:t>(b) ΔR = score – P</w:t>
                  </w:r>
                  <w:r w:rsidRPr="00BE732E">
                    <w:rPr>
                      <w:rFonts w:ascii="Verdana" w:eastAsia="Times New Roman" w:hAnsi="Verdana" w:cs="Times New Roman"/>
                      <w:color w:val="494949"/>
                      <w:sz w:val="17"/>
                      <w:szCs w:val="17"/>
                      <w:vertAlign w:val="subscript"/>
                      <w:lang w:eastAsia="tr-TR"/>
                    </w:rPr>
                    <w:t>D</w:t>
                  </w:r>
                  <w:r w:rsidRPr="00BE732E">
                    <w:rPr>
                      <w:rFonts w:ascii="Verdana" w:eastAsia="Times New Roman" w:hAnsi="Verdana" w:cs="Times New Roman"/>
                      <w:color w:val="494949"/>
                      <w:sz w:val="17"/>
                      <w:szCs w:val="17"/>
                      <w:lang w:eastAsia="tr-TR"/>
                    </w:rPr>
                    <w:t xml:space="preserve">. For each game, the score is 1, </w:t>
                  </w:r>
                  <w:proofErr w:type="gramStart"/>
                  <w:r w:rsidRPr="00BE732E">
                    <w:rPr>
                      <w:rFonts w:ascii="Verdana" w:eastAsia="Times New Roman" w:hAnsi="Verdana" w:cs="Times New Roman"/>
                      <w:color w:val="494949"/>
                      <w:sz w:val="17"/>
                      <w:szCs w:val="17"/>
                      <w:lang w:eastAsia="tr-TR"/>
                    </w:rPr>
                    <w:t>0.5</w:t>
                  </w:r>
                  <w:proofErr w:type="gramEnd"/>
                  <w:r w:rsidRPr="00BE732E">
                    <w:rPr>
                      <w:rFonts w:ascii="Verdana" w:eastAsia="Times New Roman" w:hAnsi="Verdana" w:cs="Times New Roman"/>
                      <w:color w:val="494949"/>
                      <w:sz w:val="17"/>
                      <w:szCs w:val="17"/>
                      <w:lang w:eastAsia="tr-TR"/>
                    </w:rPr>
                    <w:t xml:space="preserve"> or 0.</w:t>
                  </w:r>
                  <w:r w:rsidRPr="00BE732E">
                    <w:rPr>
                      <w:rFonts w:ascii="Verdana" w:eastAsia="Times New Roman" w:hAnsi="Verdana" w:cs="Times New Roman"/>
                      <w:color w:val="494949"/>
                      <w:sz w:val="17"/>
                      <w:szCs w:val="17"/>
                      <w:lang w:eastAsia="tr-TR"/>
                    </w:rPr>
                    <w:br/>
                    <w:t>(c) ΣΔR x K = the Rating Change for a given tournament, or Rating period.</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8.56</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K is the development coefficient.</w:t>
                  </w:r>
                  <w:r w:rsidRPr="00BE732E">
                    <w:rPr>
                      <w:rFonts w:ascii="Verdana" w:eastAsia="Times New Roman" w:hAnsi="Verdana" w:cs="Times New Roman"/>
                      <w:color w:val="494949"/>
                      <w:sz w:val="17"/>
                      <w:szCs w:val="17"/>
                      <w:lang w:eastAsia="tr-TR"/>
                    </w:rPr>
                    <w:br/>
                  </w:r>
                  <w:proofErr w:type="gramStart"/>
                  <w:r w:rsidRPr="00BE732E">
                    <w:rPr>
                      <w:rFonts w:ascii="Verdana" w:eastAsia="Times New Roman" w:hAnsi="Verdana" w:cs="Times New Roman"/>
                      <w:color w:val="494949"/>
                      <w:sz w:val="17"/>
                      <w:szCs w:val="17"/>
                      <w:lang w:eastAsia="tr-TR"/>
                    </w:rPr>
                    <w:t>K</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30 for a player new to the rating list until he has completed events with at least 30 games</w:t>
                  </w:r>
                  <w:r w:rsidRPr="00BE732E">
                    <w:rPr>
                      <w:rFonts w:ascii="Verdana" w:eastAsia="Times New Roman" w:hAnsi="Verdana" w:cs="Times New Roman"/>
                      <w:color w:val="494949"/>
                      <w:sz w:val="17"/>
                      <w:szCs w:val="17"/>
                      <w:lang w:eastAsia="tr-TR"/>
                    </w:rPr>
                    <w:br/>
                    <w:t>K</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15</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as long as a player's rating remains under 2400.</w:t>
                  </w:r>
                  <w:r w:rsidRPr="00BE732E">
                    <w:rPr>
                      <w:rFonts w:ascii="Verdana" w:eastAsia="Times New Roman" w:hAnsi="Verdana" w:cs="Times New Roman"/>
                      <w:color w:val="494949"/>
                      <w:sz w:val="17"/>
                      <w:szCs w:val="17"/>
                      <w:lang w:eastAsia="tr-TR"/>
                    </w:rPr>
                    <w:br/>
                    <w:t>K</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10</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once a player's published rating has reached 2400 and remains at that level subsequently, even if the rating drops below 2400.</w:t>
                  </w:r>
                  <w:proofErr w:type="gramEnd"/>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8.57</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n</w:t>
                  </w:r>
                  <w:r w:rsidRPr="00BE732E">
                    <w:rPr>
                      <w:rFonts w:ascii="Verdana" w:eastAsia="Times New Roman" w:hAnsi="Verdana" w:cs="Times New Roman"/>
                      <w:color w:val="494949"/>
                      <w:sz w:val="17"/>
                      <w:szCs w:val="17"/>
                      <w:lang w:eastAsia="tr-TR"/>
                    </w:rPr>
                    <w:t xml:space="preserve"> is rounded off to the nearest 1 or 0, </w:t>
                  </w:r>
                  <w:proofErr w:type="gramStart"/>
                  <w:r w:rsidRPr="00BE732E">
                    <w:rPr>
                      <w:rFonts w:ascii="Verdana" w:eastAsia="Times New Roman" w:hAnsi="Verdana" w:cs="Times New Roman"/>
                      <w:color w:val="494949"/>
                      <w:sz w:val="17"/>
                      <w:szCs w:val="17"/>
                      <w:lang w:eastAsia="tr-TR"/>
                    </w:rPr>
                    <w:t>0.5</w:t>
                  </w:r>
                  <w:proofErr w:type="gramEnd"/>
                  <w:r w:rsidRPr="00BE732E">
                    <w:rPr>
                      <w:rFonts w:ascii="Verdana" w:eastAsia="Times New Roman" w:hAnsi="Verdana" w:cs="Times New Roman"/>
                      <w:color w:val="494949"/>
                      <w:sz w:val="17"/>
                      <w:szCs w:val="17"/>
                      <w:lang w:eastAsia="tr-TR"/>
                    </w:rPr>
                    <w:t xml:space="preserve"> is rounded to 1.</w:t>
                  </w:r>
                </w:p>
              </w:tc>
            </w:tr>
            <w:tr w:rsidR="00BE732E" w:rsidRPr="00BE732E">
              <w:trPr>
                <w:tblCellSpacing w:w="0"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8.58</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Determining the Ratings in a round-robin tournament.</w:t>
                  </w:r>
                  <w:r w:rsidRPr="00BE732E">
                    <w:rPr>
                      <w:rFonts w:ascii="Verdana" w:eastAsia="Times New Roman" w:hAnsi="Verdana" w:cs="Times New Roman"/>
                      <w:color w:val="494949"/>
                      <w:sz w:val="17"/>
                      <w:szCs w:val="17"/>
                      <w:lang w:eastAsia="tr-TR"/>
                    </w:rPr>
                    <w:br/>
                    <w:t>Where unrated players take part, their ratings are determined by a process of iteration. These new ratings are then used to determine the rating change for the rated players.</w:t>
                  </w:r>
                  <w:r w:rsidRPr="00BE732E">
                    <w:rPr>
                      <w:rFonts w:ascii="Verdana" w:eastAsia="Times New Roman" w:hAnsi="Verdana" w:cs="Times New Roman"/>
                      <w:color w:val="494949"/>
                      <w:sz w:val="17"/>
                      <w:szCs w:val="17"/>
                      <w:lang w:eastAsia="tr-TR"/>
                    </w:rPr>
                    <w:br/>
                    <w:t>What follows shows the methodology.</w:t>
                  </w:r>
                </w:p>
                <w:tbl>
                  <w:tblPr>
                    <w:tblW w:w="7950" w:type="dxa"/>
                    <w:tblCellSpacing w:w="37" w:type="dxa"/>
                    <w:tblCellMar>
                      <w:left w:w="0" w:type="dxa"/>
                      <w:right w:w="0" w:type="dxa"/>
                    </w:tblCellMar>
                    <w:tblLook w:val="04A0"/>
                  </w:tblPr>
                  <w:tblGrid>
                    <w:gridCol w:w="874"/>
                    <w:gridCol w:w="701"/>
                    <w:gridCol w:w="523"/>
                    <w:gridCol w:w="561"/>
                    <w:gridCol w:w="754"/>
                    <w:gridCol w:w="701"/>
                    <w:gridCol w:w="701"/>
                    <w:gridCol w:w="701"/>
                    <w:gridCol w:w="701"/>
                    <w:gridCol w:w="848"/>
                    <w:gridCol w:w="885"/>
                  </w:tblGrid>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player</w:t>
                        </w:r>
                      </w:p>
                    </w:tc>
                    <w:tc>
                      <w:tcPr>
                        <w:tcW w:w="69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Rate</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W</w:t>
                        </w:r>
                      </w:p>
                    </w:tc>
                    <w:tc>
                      <w:tcPr>
                        <w:tcW w:w="55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proofErr w:type="gramStart"/>
                        <w:r w:rsidRPr="00BE732E">
                          <w:rPr>
                            <w:rFonts w:ascii="Verdana" w:eastAsia="Times New Roman" w:hAnsi="Verdana" w:cs="Times New Roman"/>
                            <w:color w:val="494949"/>
                            <w:sz w:val="17"/>
                            <w:szCs w:val="17"/>
                            <w:lang w:eastAsia="tr-TR"/>
                          </w:rPr>
                          <w:t>p</w:t>
                        </w:r>
                        <w:proofErr w:type="gramEnd"/>
                      </w:p>
                    </w:tc>
                    <w:tc>
                      <w:tcPr>
                        <w:tcW w:w="795"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r w:rsidRPr="00BE732E">
                          <w:rPr>
                            <w:rFonts w:ascii="Verdana" w:eastAsia="Times New Roman" w:hAnsi="Verdana" w:cs="Times New Roman"/>
                            <w:color w:val="494949"/>
                            <w:sz w:val="17"/>
                            <w:szCs w:val="17"/>
                            <w:vertAlign w:val="subscript"/>
                            <w:lang w:eastAsia="tr-TR"/>
                          </w:rPr>
                          <w:t>p</w:t>
                        </w:r>
                      </w:p>
                    </w:tc>
                    <w:tc>
                      <w:tcPr>
                        <w:tcW w:w="69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c</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u</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c</w:t>
                        </w:r>
                        <w:r w:rsidRPr="00BE732E">
                          <w:rPr>
                            <w:rFonts w:ascii="Verdana" w:eastAsia="Times New Roman" w:hAnsi="Verdana" w:cs="Times New Roman"/>
                            <w:color w:val="494949"/>
                            <w:sz w:val="17"/>
                            <w:szCs w:val="17"/>
                            <w:lang w:eastAsia="tr-TR"/>
                          </w:rPr>
                          <w:br/>
                          <w:t>new</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w:t>
                        </w:r>
                        <w:r w:rsidRPr="00BE732E">
                          <w:rPr>
                            <w:rFonts w:ascii="Verdana" w:eastAsia="Times New Roman" w:hAnsi="Verdana" w:cs="Times New Roman"/>
                            <w:color w:val="494949"/>
                            <w:sz w:val="17"/>
                            <w:szCs w:val="17"/>
                            <w:lang w:eastAsia="tr-TR"/>
                          </w:rPr>
                          <w:br/>
                          <w:t>new</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W</w:t>
                        </w:r>
                        <w:r w:rsidRPr="00BE732E">
                          <w:rPr>
                            <w:rFonts w:ascii="Verdana" w:eastAsia="Times New Roman" w:hAnsi="Verdana" w:cs="Times New Roman"/>
                            <w:color w:val="494949"/>
                            <w:sz w:val="17"/>
                            <w:szCs w:val="17"/>
                            <w:vertAlign w:val="subscript"/>
                            <w:lang w:eastAsia="tr-TR"/>
                          </w:rPr>
                          <w:t>e</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Kchg</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2600</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.89</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351</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7.36</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+12.8</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B</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2500</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.78</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220</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6.48</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+10.4</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lastRenderedPageBreak/>
                          <w:t>C</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U</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7</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2348</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2423</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2348</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2423</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D</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2400</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.67</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125</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5.40</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+12.0</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E</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U</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6</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2348</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2393</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2348</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2393</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2150</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.44</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-43</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2.55</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+44.3</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G</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2300</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.33</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-125</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4.21</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-36.3</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H</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U</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2348</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2150</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2342</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2144</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I</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U</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2348</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2032</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2322</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2006</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r>
                  <w:tr w:rsidR="00BE732E" w:rsidRPr="00BE732E">
                    <w:trPr>
                      <w:tblCellSpacing w:w="37" w:type="dxa"/>
                    </w:trPr>
                    <w:tc>
                      <w:tcPr>
                        <w:tcW w:w="84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J</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2300</w:t>
                        </w:r>
                      </w:p>
                    </w:tc>
                    <w:tc>
                      <w:tcPr>
                        <w:tcW w:w="540" w:type="dxa"/>
                        <w:hideMark/>
                      </w:tcPr>
                      <w:p w:rsidR="00BE732E" w:rsidRPr="00BE732E" w:rsidRDefault="00BE732E" w:rsidP="00BE732E">
                        <w:pPr>
                          <w:spacing w:before="30" w:after="30" w:line="312" w:lineRule="auto"/>
                          <w:jc w:val="center"/>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w:t>
                        </w:r>
                      </w:p>
                    </w:tc>
                    <w:tc>
                      <w:tcPr>
                        <w:tcW w:w="5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w:t>
                        </w:r>
                      </w:p>
                    </w:tc>
                    <w:tc>
                      <w:tcPr>
                        <w:tcW w:w="79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-351</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69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900"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4.21</w:t>
                        </w:r>
                      </w:p>
                    </w:tc>
                    <w:tc>
                      <w:tcPr>
                        <w:tcW w:w="855" w:type="dxa"/>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-96.3</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ar</w:t>
                  </w:r>
                  <w:r w:rsidRPr="00BE732E">
                    <w:rPr>
                      <w:rFonts w:ascii="Verdana" w:eastAsia="Times New Roman" w:hAnsi="Verdana" w:cs="Times New Roman"/>
                      <w:color w:val="494949"/>
                      <w:sz w:val="17"/>
                      <w:szCs w:val="17"/>
                      <w:lang w:eastAsia="tr-TR"/>
                    </w:rPr>
                    <w:t xml:space="preserve"> = 2600 + 2500 + 2400 + 2150 + 2300 + 2300 divided by 6</w:t>
                  </w:r>
                  <w:r w:rsidRPr="00BE732E">
                    <w:rPr>
                      <w:rFonts w:ascii="Verdana" w:eastAsia="Times New Roman" w:hAnsi="Verdana" w:cs="Times New Roman"/>
                      <w:color w:val="494949"/>
                      <w:sz w:val="17"/>
                      <w:szCs w:val="17"/>
                      <w:lang w:eastAsia="tr-TR"/>
                    </w:rPr>
                    <w:br/>
                    <w:t>R</w:t>
                  </w:r>
                  <w:r w:rsidRPr="00BE732E">
                    <w:rPr>
                      <w:rFonts w:ascii="Verdana" w:eastAsia="Times New Roman" w:hAnsi="Verdana" w:cs="Times New Roman"/>
                      <w:color w:val="494949"/>
                      <w:sz w:val="17"/>
                      <w:szCs w:val="17"/>
                      <w:vertAlign w:val="subscript"/>
                      <w:lang w:eastAsia="tr-TR"/>
                    </w:rPr>
                    <w:t>ar</w:t>
                  </w:r>
                  <w:r w:rsidRPr="00BE732E">
                    <w:rPr>
                      <w:rFonts w:ascii="Verdana" w:eastAsia="Times New Roman" w:hAnsi="Verdana" w:cs="Times New Roman"/>
                      <w:color w:val="494949"/>
                      <w:sz w:val="17"/>
                      <w:szCs w:val="17"/>
                      <w:lang w:eastAsia="tr-TR"/>
                    </w:rPr>
                    <w:t xml:space="preserve"> = 2375</w:t>
                  </w:r>
                  <w:r w:rsidRPr="00BE732E">
                    <w:rPr>
                      <w:rFonts w:ascii="Verdana" w:eastAsia="Times New Roman" w:hAnsi="Verdana" w:cs="Times New Roman"/>
                      <w:color w:val="494949"/>
                      <w:sz w:val="17"/>
                      <w:szCs w:val="17"/>
                      <w:lang w:eastAsia="tr-TR"/>
                    </w:rPr>
                    <w:br/>
                    <w:t>d</w:t>
                  </w:r>
                  <w:r w:rsidRPr="00BE732E">
                    <w:rPr>
                      <w:rFonts w:ascii="Verdana" w:eastAsia="Times New Roman" w:hAnsi="Verdana" w:cs="Times New Roman"/>
                      <w:color w:val="494949"/>
                      <w:sz w:val="17"/>
                      <w:szCs w:val="17"/>
                      <w:vertAlign w:val="subscript"/>
                      <w:lang w:eastAsia="tr-TR"/>
                    </w:rPr>
                    <w:t>pa</w:t>
                  </w:r>
                  <w:r w:rsidRPr="00BE732E">
                    <w:rPr>
                      <w:rFonts w:ascii="Verdana" w:eastAsia="Times New Roman" w:hAnsi="Verdana" w:cs="Times New Roman"/>
                      <w:color w:val="494949"/>
                      <w:sz w:val="17"/>
                      <w:szCs w:val="17"/>
                      <w:lang w:eastAsia="tr-TR"/>
                    </w:rPr>
                    <w:t xml:space="preserve"> = 351 + 220 +125 -43 -125 -351 divided by 6</w:t>
                  </w:r>
                  <w:r w:rsidRPr="00BE732E">
                    <w:rPr>
                      <w:rFonts w:ascii="Verdana" w:eastAsia="Times New Roman" w:hAnsi="Verdana" w:cs="Times New Roman"/>
                      <w:color w:val="494949"/>
                      <w:sz w:val="17"/>
                      <w:szCs w:val="17"/>
                      <w:lang w:eastAsia="tr-TR"/>
                    </w:rPr>
                    <w:br/>
                    <w:t>d</w:t>
                  </w:r>
                  <w:r w:rsidRPr="00BE732E">
                    <w:rPr>
                      <w:rFonts w:ascii="Verdana" w:eastAsia="Times New Roman" w:hAnsi="Verdana" w:cs="Times New Roman"/>
                      <w:color w:val="494949"/>
                      <w:sz w:val="17"/>
                      <w:szCs w:val="17"/>
                      <w:vertAlign w:val="subscript"/>
                      <w:lang w:eastAsia="tr-TR"/>
                    </w:rPr>
                    <w:t>pa</w:t>
                  </w:r>
                  <w:r w:rsidRPr="00BE732E">
                    <w:rPr>
                      <w:rFonts w:ascii="Verdana" w:eastAsia="Times New Roman" w:hAnsi="Verdana" w:cs="Times New Roman"/>
                      <w:color w:val="494949"/>
                      <w:sz w:val="17"/>
                      <w:szCs w:val="17"/>
                      <w:lang w:eastAsia="tr-TR"/>
                    </w:rPr>
                    <w:t xml:space="preserve"> = </w:t>
                  </w:r>
                  <w:proofErr w:type="gramStart"/>
                  <w:r w:rsidRPr="00BE732E">
                    <w:rPr>
                      <w:rFonts w:ascii="Verdana" w:eastAsia="Times New Roman" w:hAnsi="Verdana" w:cs="Times New Roman"/>
                      <w:color w:val="494949"/>
                      <w:sz w:val="17"/>
                      <w:szCs w:val="17"/>
                      <w:lang w:eastAsia="tr-TR"/>
                    </w:rPr>
                    <w:t>29.5</w:t>
                  </w:r>
                  <w:proofErr w:type="gramEnd"/>
                  <w:r w:rsidRPr="00BE732E">
                    <w:rPr>
                      <w:rFonts w:ascii="Verdana" w:eastAsia="Times New Roman" w:hAnsi="Verdana" w:cs="Times New Roman"/>
                      <w:color w:val="494949"/>
                      <w:sz w:val="17"/>
                      <w:szCs w:val="17"/>
                      <w:lang w:eastAsia="tr-TR"/>
                    </w:rPr>
                    <w:br/>
                    <w:t>R</w:t>
                  </w:r>
                  <w:r w:rsidRPr="00BE732E">
                    <w:rPr>
                      <w:rFonts w:ascii="Verdana" w:eastAsia="Times New Roman" w:hAnsi="Verdana" w:cs="Times New Roman"/>
                      <w:color w:val="494949"/>
                      <w:sz w:val="17"/>
                      <w:szCs w:val="17"/>
                      <w:vertAlign w:val="subscript"/>
                      <w:lang w:eastAsia="tr-TR"/>
                    </w:rPr>
                    <w:t>a</w:t>
                  </w:r>
                  <w:r w:rsidRPr="00BE732E">
                    <w:rPr>
                      <w:rFonts w:ascii="Verdana" w:eastAsia="Times New Roman" w:hAnsi="Verdana" w:cs="Times New Roman"/>
                      <w:color w:val="494949"/>
                      <w:sz w:val="17"/>
                      <w:szCs w:val="17"/>
                      <w:lang w:eastAsia="tr-TR"/>
                    </w:rPr>
                    <w:t xml:space="preserve"> = 2375 -29.5 x 9/10</w:t>
                  </w:r>
                  <w:r w:rsidRPr="00BE732E">
                    <w:rPr>
                      <w:rFonts w:ascii="Verdana" w:eastAsia="Times New Roman" w:hAnsi="Verdana" w:cs="Times New Roman"/>
                      <w:color w:val="494949"/>
                      <w:sz w:val="17"/>
                      <w:szCs w:val="17"/>
                      <w:lang w:eastAsia="tr-TR"/>
                    </w:rPr>
                    <w:br/>
                    <w:t>R</w:t>
                  </w:r>
                  <w:r w:rsidRPr="00BE732E">
                    <w:rPr>
                      <w:rFonts w:ascii="Verdana" w:eastAsia="Times New Roman" w:hAnsi="Verdana" w:cs="Times New Roman"/>
                      <w:color w:val="494949"/>
                      <w:sz w:val="17"/>
                      <w:szCs w:val="17"/>
                      <w:vertAlign w:val="subscript"/>
                      <w:lang w:eastAsia="tr-TR"/>
                    </w:rPr>
                    <w:t>a</w:t>
                  </w:r>
                  <w:r w:rsidRPr="00BE732E">
                    <w:rPr>
                      <w:rFonts w:ascii="Verdana" w:eastAsia="Times New Roman" w:hAnsi="Verdana" w:cs="Times New Roman"/>
                      <w:color w:val="494949"/>
                      <w:sz w:val="17"/>
                      <w:szCs w:val="17"/>
                      <w:lang w:eastAsia="tr-TR"/>
                    </w:rPr>
                    <w:t xml:space="preserve"> = 2348</w:t>
                  </w:r>
                </w:p>
                <w:tbl>
                  <w:tblPr>
                    <w:tblW w:w="7500" w:type="dxa"/>
                    <w:tblCellSpacing w:w="37" w:type="dxa"/>
                    <w:tblCellMar>
                      <w:top w:w="15" w:type="dxa"/>
                      <w:left w:w="15" w:type="dxa"/>
                      <w:bottom w:w="15" w:type="dxa"/>
                      <w:right w:w="15" w:type="dxa"/>
                    </w:tblCellMar>
                    <w:tblLook w:val="04A0"/>
                  </w:tblPr>
                  <w:tblGrid>
                    <w:gridCol w:w="2253"/>
                    <w:gridCol w:w="5247"/>
                  </w:tblGrid>
                  <w:tr w:rsidR="00BE732E" w:rsidRPr="00BE732E">
                    <w:trPr>
                      <w:tblCellSpacing w:w="37" w:type="dxa"/>
                    </w:trPr>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Player C</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2348 + 5 x 15   = 2423</w:t>
                        </w:r>
                      </w:p>
                    </w:tc>
                  </w:tr>
                  <w:tr w:rsidR="00BE732E" w:rsidRPr="00BE732E">
                    <w:trPr>
                      <w:tblCellSpacing w:w="37" w:type="dxa"/>
                    </w:trPr>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Player E</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2348 + 3 x 15   = 2393</w:t>
                        </w:r>
                      </w:p>
                    </w:tc>
                  </w:tr>
                  <w:tr w:rsidR="00BE732E" w:rsidRPr="00BE732E">
                    <w:trPr>
                      <w:tblCellSpacing w:w="37" w:type="dxa"/>
                    </w:trPr>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Player H</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2348 – 220 x </w:t>
                        </w:r>
                        <w:proofErr w:type="gramStart"/>
                        <w:r w:rsidRPr="00BE732E">
                          <w:rPr>
                            <w:rFonts w:ascii="Verdana" w:eastAsia="Times New Roman" w:hAnsi="Verdana" w:cs="Times New Roman"/>
                            <w:color w:val="494949"/>
                            <w:sz w:val="17"/>
                            <w:szCs w:val="17"/>
                            <w:lang w:eastAsia="tr-TR"/>
                          </w:rPr>
                          <w:t>0.9</w:t>
                        </w:r>
                        <w:proofErr w:type="gramEnd"/>
                        <w:r w:rsidRPr="00BE732E">
                          <w:rPr>
                            <w:rFonts w:ascii="Verdana" w:eastAsia="Times New Roman" w:hAnsi="Verdana" w:cs="Times New Roman"/>
                            <w:color w:val="494949"/>
                            <w:sz w:val="17"/>
                            <w:szCs w:val="17"/>
                            <w:lang w:eastAsia="tr-TR"/>
                          </w:rPr>
                          <w:t>= 2150</w:t>
                        </w:r>
                      </w:p>
                    </w:tc>
                  </w:tr>
                  <w:tr w:rsidR="00BE732E" w:rsidRPr="00BE732E">
                    <w:trPr>
                      <w:tblCellSpacing w:w="37" w:type="dxa"/>
                    </w:trPr>
                    <w:tc>
                      <w:tcPr>
                        <w:tcW w:w="0" w:type="auto"/>
                        <w:vAlign w:val="cente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For Player I </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 2348 – 351 x </w:t>
                        </w:r>
                        <w:proofErr w:type="gramStart"/>
                        <w:r w:rsidRPr="00BE732E">
                          <w:rPr>
                            <w:rFonts w:ascii="Verdana" w:eastAsia="Times New Roman" w:hAnsi="Verdana" w:cs="Times New Roman"/>
                            <w:color w:val="494949"/>
                            <w:sz w:val="17"/>
                            <w:szCs w:val="17"/>
                            <w:lang w:eastAsia="tr-TR"/>
                          </w:rPr>
                          <w:t>0.9</w:t>
                        </w:r>
                        <w:proofErr w:type="gramEnd"/>
                        <w:r w:rsidRPr="00BE732E">
                          <w:rPr>
                            <w:rFonts w:ascii="Verdana" w:eastAsia="Times New Roman" w:hAnsi="Verdana" w:cs="Times New Roman"/>
                            <w:color w:val="494949"/>
                            <w:sz w:val="17"/>
                            <w:szCs w:val="17"/>
                            <w:lang w:eastAsia="tr-TR"/>
                          </w:rPr>
                          <w:t>= 2032</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However, Player I is more than 400 points below players A and B </w:t>
                  </w:r>
                  <w:r w:rsidRPr="00BE732E">
                    <w:rPr>
                      <w:rFonts w:ascii="Verdana" w:eastAsia="Times New Roman" w:hAnsi="Verdana" w:cs="Times New Roman"/>
                      <w:color w:val="494949"/>
                      <w:sz w:val="17"/>
                      <w:szCs w:val="17"/>
                      <w:lang w:eastAsia="tr-TR"/>
                    </w:rPr>
                    <w:br/>
                    <w:t>Player H is more than 400 points below A.</w:t>
                  </w:r>
                </w:p>
                <w:tbl>
                  <w:tblPr>
                    <w:tblW w:w="7500" w:type="dxa"/>
                    <w:tblCellSpacing w:w="37" w:type="dxa"/>
                    <w:tblCellMar>
                      <w:top w:w="15" w:type="dxa"/>
                      <w:left w:w="15" w:type="dxa"/>
                      <w:bottom w:w="15" w:type="dxa"/>
                      <w:right w:w="15" w:type="dxa"/>
                    </w:tblCellMar>
                    <w:tblLook w:val="04A0"/>
                  </w:tblPr>
                  <w:tblGrid>
                    <w:gridCol w:w="2260"/>
                    <w:gridCol w:w="2763"/>
                    <w:gridCol w:w="2477"/>
                  </w:tblGrid>
                  <w:tr w:rsidR="00BE732E" w:rsidRPr="00BE732E">
                    <w:trPr>
                      <w:tblCellSpacing w:w="37" w:type="dxa"/>
                    </w:trPr>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Player H, A</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counts as 2550  </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c</w:t>
                        </w:r>
                        <w:r w:rsidRPr="00BE732E">
                          <w:rPr>
                            <w:rFonts w:ascii="Verdana" w:eastAsia="Times New Roman" w:hAnsi="Verdana" w:cs="Times New Roman"/>
                            <w:color w:val="494949"/>
                            <w:sz w:val="17"/>
                            <w:szCs w:val="17"/>
                            <w:lang w:eastAsia="tr-TR"/>
                          </w:rPr>
                          <w:t>(new)=2342</w:t>
                        </w:r>
                      </w:p>
                    </w:tc>
                  </w:tr>
                  <w:tr w:rsidR="00BE732E" w:rsidRPr="00BE732E">
                    <w:trPr>
                      <w:tblCellSpacing w:w="37" w:type="dxa"/>
                    </w:trPr>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Player I, A, B</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count as 2432</w:t>
                        </w:r>
                      </w:p>
                    </w:tc>
                    <w:tc>
                      <w:tcPr>
                        <w:tcW w:w="0" w:type="auto"/>
                        <w:vAlign w:val="center"/>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w:t>
                        </w:r>
                        <w:r w:rsidRPr="00BE732E">
                          <w:rPr>
                            <w:rFonts w:ascii="Verdana" w:eastAsia="Times New Roman" w:hAnsi="Verdana" w:cs="Times New Roman"/>
                            <w:color w:val="494949"/>
                            <w:sz w:val="17"/>
                            <w:szCs w:val="17"/>
                            <w:vertAlign w:val="subscript"/>
                            <w:lang w:eastAsia="tr-TR"/>
                          </w:rPr>
                          <w:t>c</w:t>
                        </w:r>
                        <w:r w:rsidRPr="00BE732E">
                          <w:rPr>
                            <w:rFonts w:ascii="Verdana" w:eastAsia="Times New Roman" w:hAnsi="Verdana" w:cs="Times New Roman"/>
                            <w:color w:val="494949"/>
                            <w:sz w:val="17"/>
                            <w:szCs w:val="17"/>
                            <w:lang w:eastAsia="tr-TR"/>
                          </w:rPr>
                          <w:t>(new)=2322</w:t>
                        </w:r>
                      </w:p>
                    </w:tc>
                  </w:tr>
                </w:tbl>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Then the ΔR for each of the rated players for each game is determined using R</w:t>
                  </w:r>
                  <w:r w:rsidRPr="00BE732E">
                    <w:rPr>
                      <w:rFonts w:ascii="Verdana" w:eastAsia="Times New Roman" w:hAnsi="Verdana" w:cs="Times New Roman"/>
                      <w:color w:val="494949"/>
                      <w:sz w:val="17"/>
                      <w:szCs w:val="17"/>
                      <w:vertAlign w:val="subscript"/>
                      <w:lang w:eastAsia="tr-TR"/>
                    </w:rPr>
                    <w:t>u</w:t>
                  </w:r>
                  <w:r w:rsidRPr="00BE732E">
                    <w:rPr>
                      <w:rFonts w:ascii="Verdana" w:eastAsia="Times New Roman" w:hAnsi="Verdana" w:cs="Times New Roman"/>
                      <w:color w:val="494949"/>
                      <w:sz w:val="17"/>
                      <w:szCs w:val="17"/>
                      <w:lang w:eastAsia="tr-TR"/>
                    </w:rPr>
                    <w:t xml:space="preserve"> (new) as if an established rating</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9.0. Reporting Procedures</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454"/>
              <w:gridCol w:w="9656"/>
            </w:tblGrid>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9.0</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Reporting Procedures </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The results must be submitted using the rating </w:t>
                  </w:r>
                  <w:proofErr w:type="gramStart"/>
                  <w:r w:rsidRPr="00BE732E">
                    <w:rPr>
                      <w:rFonts w:ascii="Verdana" w:eastAsia="Times New Roman" w:hAnsi="Verdana" w:cs="Times New Roman"/>
                      <w:color w:val="494949"/>
                      <w:sz w:val="17"/>
                      <w:szCs w:val="17"/>
                      <w:lang w:eastAsia="tr-TR"/>
                    </w:rPr>
                    <w:t>server</w:t>
                  </w:r>
                  <w:proofErr w:type="gramEnd"/>
                  <w:r w:rsidRPr="00BE732E">
                    <w:rPr>
                      <w:rFonts w:ascii="Verdana" w:eastAsia="Times New Roman" w:hAnsi="Verdana" w:cs="Times New Roman"/>
                      <w:color w:val="494949"/>
                      <w:sz w:val="17"/>
                      <w:szCs w:val="17"/>
                      <w:lang w:eastAsia="tr-TR"/>
                    </w:rPr>
                    <w:t xml:space="preserve"> and TRF files.</w:t>
                  </w:r>
                  <w:r w:rsidRPr="00BE732E">
                    <w:rPr>
                      <w:rFonts w:ascii="Verdana" w:eastAsia="Times New Roman" w:hAnsi="Verdana" w:cs="Times New Roman"/>
                      <w:b/>
                      <w:bCs/>
                      <w:color w:val="494949"/>
                      <w:sz w:val="17"/>
                      <w:lang w:eastAsia="tr-TR"/>
                    </w:rPr>
                    <w:t xml:space="preserve"> </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Results of all international competitions must be submitted for rating unless the original invitations have made it clear the event was not to be FIDE rated. The chief arbiter must also announce this to the players before the tournament starts.</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9.3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Each national federation shall designate an official to coordinate and expedite qualification and rating matters. His name and details must be given to the FIDE Secretariat</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10.0. Monitoring the Operation of the Rating System</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575"/>
              <w:gridCol w:w="9535"/>
            </w:tblGrid>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lastRenderedPageBreak/>
                    <w:t>10.0</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Monitoring the Operation of the Rating System</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One of the functions of Congress is to establish the policies under which FIDE titles and ratings are awarded. The function of the rating system is to produce scientific measurement information of the best statistical quality to enable Congress to award equal titles for equal proficiencies of players. Thus the rating system must be properly scientifically maintained and adjusted on both a short and long term basis.</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rating scale is arbitrary and open ended. Thus only differences in ratings have any statistical significance in terms of probability. Thus if the composition of the FIDE Rating pool were to change, the rating scale could drift with respect to the true proficiency of the players. It is a major objective to ensure the integrity of the system so that ratings of the same value from year to year represent the same proficiency of play.</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10.3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Part of the responsibilities of the Rating System Administrator is to detect any drift in the rating scale</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11.0. The requirements for the FIDE Rating System Administrator</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575"/>
              <w:gridCol w:w="9535"/>
            </w:tblGrid>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11.0</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The requirements for the FIDE Rating System Administrator </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 sufficient knowledge of statistical probability theory as it applies to measurements in the physical and behavioural sciences.</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Ability to design the surveys described under 12.3</w:t>
                  </w:r>
                  <w:proofErr w:type="gramStart"/>
                  <w:r w:rsidRPr="00BE732E">
                    <w:rPr>
                      <w:rFonts w:ascii="Verdana" w:eastAsia="Times New Roman" w:hAnsi="Verdana" w:cs="Times New Roman"/>
                      <w:color w:val="494949"/>
                      <w:sz w:val="17"/>
                      <w:szCs w:val="17"/>
                      <w:lang w:eastAsia="tr-TR"/>
                    </w:rPr>
                    <w:t>.;</w:t>
                  </w:r>
                  <w:proofErr w:type="gramEnd"/>
                  <w:r w:rsidRPr="00BE732E">
                    <w:rPr>
                      <w:rFonts w:ascii="Verdana" w:eastAsia="Times New Roman" w:hAnsi="Verdana" w:cs="Times New Roman"/>
                      <w:color w:val="494949"/>
                      <w:sz w:val="17"/>
                      <w:szCs w:val="17"/>
                      <w:lang w:eastAsia="tr-TR"/>
                    </w:rPr>
                    <w:t xml:space="preserve"> to interpret the results of the surveys; and to recommend the Qualification Commission whatever measures are needed to preserve the integrity of the rating system.</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To be able to advise and assist any FIDE member federation in the establishment of a national rating system</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11.4</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To display a level of objectivity comparable to that of an FIDE Arbiter</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12.0. Some comments on the Rating system</w:t>
            </w:r>
          </w:p>
        </w:tc>
      </w:tr>
      <w:tr w:rsidR="00BE732E" w:rsidRPr="00BE732E" w:rsidTr="00BE732E">
        <w:trPr>
          <w:tblCellSpacing w:w="15" w:type="dxa"/>
        </w:trPr>
        <w:tc>
          <w:tcPr>
            <w:tcW w:w="10200" w:type="dxa"/>
            <w:tcMar>
              <w:top w:w="15" w:type="dxa"/>
              <w:left w:w="15" w:type="dxa"/>
              <w:bottom w:w="15" w:type="dxa"/>
              <w:right w:w="15" w:type="dxa"/>
            </w:tcMar>
            <w:hideMark/>
          </w:tcPr>
          <w:tbl>
            <w:tblPr>
              <w:tblW w:w="0" w:type="auto"/>
              <w:tblCellSpacing w:w="0" w:type="dxa"/>
              <w:tblCellMar>
                <w:top w:w="75" w:type="dxa"/>
                <w:left w:w="75" w:type="dxa"/>
                <w:bottom w:w="75" w:type="dxa"/>
                <w:right w:w="75" w:type="dxa"/>
              </w:tblCellMar>
              <w:tblLook w:val="04A0"/>
            </w:tblPr>
            <w:tblGrid>
              <w:gridCol w:w="575"/>
              <w:gridCol w:w="9535"/>
            </w:tblGrid>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12.0 </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b/>
                      <w:bCs/>
                      <w:color w:val="494949"/>
                      <w:sz w:val="17"/>
                      <w:lang w:eastAsia="tr-TR"/>
                    </w:rPr>
                    <w:t xml:space="preserve">Some comments on the Rating system </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following formula gives a close approximation to tables 8.1a/b.</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 xml:space="preserve">P = 1/(1 + 10 </w:t>
                  </w:r>
                  <w:r w:rsidRPr="00BE732E">
                    <w:rPr>
                      <w:rFonts w:ascii="Verdana" w:eastAsia="Times New Roman" w:hAnsi="Verdana" w:cs="Times New Roman"/>
                      <w:color w:val="494949"/>
                      <w:sz w:val="17"/>
                      <w:szCs w:val="17"/>
                      <w:vertAlign w:val="superscript"/>
                      <w:lang w:eastAsia="tr-TR"/>
                    </w:rPr>
                    <w:t>-D/400</w:t>
                  </w:r>
                  <w:r w:rsidRPr="00BE732E">
                    <w:rPr>
                      <w:rFonts w:ascii="Verdana" w:eastAsia="Times New Roman" w:hAnsi="Verdana" w:cs="Times New Roman"/>
                      <w:color w:val="494949"/>
                      <w:sz w:val="17"/>
                      <w:szCs w:val="17"/>
                      <w:lang w:eastAsia="tr-TR"/>
                    </w:rPr>
                    <w:t>). However the tables are used as shown.</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Tables 8.1a/b are used precisely as shown, no extrapolations are made to establish a third significant figure.</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K is used as a stabilising influence in the system. When K</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10, the rating turns over in approximately 75 games; K</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15, 50 games, K</w:t>
                  </w:r>
                  <w:r w:rsidRPr="00BE732E">
                    <w:rPr>
                      <w:rFonts w:ascii="Verdana" w:eastAsia="Times New Roman" w:hAnsi="Verdana" w:cs="Times New Roman"/>
                      <w:color w:val="494949"/>
                      <w:sz w:val="17"/>
                      <w:szCs w:val="17"/>
                      <w:lang w:eastAsia="tr-TR"/>
                    </w:rPr>
                    <w:t> </w:t>
                  </w:r>
                  <w:r w:rsidRPr="00BE732E">
                    <w:rPr>
                      <w:rFonts w:ascii="Verdana" w:eastAsia="Times New Roman" w:hAnsi="Verdana" w:cs="Times New Roman"/>
                      <w:color w:val="494949"/>
                      <w:sz w:val="17"/>
                      <w:szCs w:val="17"/>
                      <w:lang w:eastAsia="tr-TR"/>
                    </w:rPr>
                    <w:t>= 30, it is 25 games.</w:t>
                  </w:r>
                </w:p>
              </w:tc>
            </w:tr>
            <w:tr w:rsidR="00BE732E" w:rsidRPr="00BE732E">
              <w:trPr>
                <w:tblCellSpacing w:w="0" w:type="dxa"/>
              </w:trPr>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12.4</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The system has been devised to enable players to verify their ratings readily</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tbl>
      <w:tblPr>
        <w:tblW w:w="10200" w:type="dxa"/>
        <w:tblCellSpacing w:w="15" w:type="dxa"/>
        <w:tblCellMar>
          <w:left w:w="0" w:type="dxa"/>
          <w:right w:w="0" w:type="dxa"/>
        </w:tblCellMar>
        <w:tblLook w:val="04A0"/>
      </w:tblPr>
      <w:tblGrid>
        <w:gridCol w:w="10200"/>
      </w:tblGrid>
      <w:tr w:rsidR="00BE732E" w:rsidRPr="00BE732E" w:rsidTr="00BE732E">
        <w:trPr>
          <w:tblCellSpacing w:w="15" w:type="dxa"/>
        </w:trPr>
        <w:tc>
          <w:tcPr>
            <w:tcW w:w="0" w:type="auto"/>
            <w:tcMar>
              <w:top w:w="15" w:type="dxa"/>
              <w:left w:w="15" w:type="dxa"/>
              <w:bottom w:w="15" w:type="dxa"/>
              <w:right w:w="15" w:type="dxa"/>
            </w:tcMar>
            <w:hideMark/>
          </w:tcPr>
          <w:p w:rsidR="00BE732E" w:rsidRPr="00BE732E" w:rsidRDefault="00BE732E" w:rsidP="00BE732E">
            <w:pPr>
              <w:spacing w:before="150" w:after="150" w:line="240" w:lineRule="auto"/>
              <w:outlineLvl w:val="0"/>
              <w:rPr>
                <w:rFonts w:ascii="Arial Narrow" w:eastAsia="Times New Roman" w:hAnsi="Arial Narrow" w:cs="Times New Roman"/>
                <w:b/>
                <w:bCs/>
                <w:color w:val="BA3407"/>
                <w:kern w:val="36"/>
                <w:sz w:val="32"/>
                <w:szCs w:val="32"/>
                <w:lang w:eastAsia="tr-TR"/>
              </w:rPr>
            </w:pPr>
            <w:r w:rsidRPr="00BE732E">
              <w:rPr>
                <w:rFonts w:ascii="Arial Narrow" w:eastAsia="Times New Roman" w:hAnsi="Arial Narrow" w:cs="Times New Roman"/>
                <w:b/>
                <w:bCs/>
                <w:color w:val="BA3407"/>
                <w:kern w:val="36"/>
                <w:sz w:val="32"/>
                <w:szCs w:val="32"/>
                <w:lang w:eastAsia="tr-TR"/>
              </w:rPr>
              <w:t>13.0. Inclusion in the Rating list.</w:t>
            </w:r>
          </w:p>
        </w:tc>
      </w:tr>
      <w:tr w:rsidR="00BE732E" w:rsidRPr="00BE732E" w:rsidTr="00BE732E">
        <w:trPr>
          <w:tblCellSpacing w:w="15" w:type="dxa"/>
        </w:trPr>
        <w:tc>
          <w:tcPr>
            <w:tcW w:w="10200" w:type="dxa"/>
            <w:tcMar>
              <w:top w:w="15" w:type="dxa"/>
              <w:left w:w="15" w:type="dxa"/>
              <w:bottom w:w="15" w:type="dxa"/>
              <w:right w:w="15" w:type="dxa"/>
            </w:tcMar>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lastRenderedPageBreak/>
              <w:t> </w:t>
            </w:r>
          </w:p>
          <w:tbl>
            <w:tblPr>
              <w:tblW w:w="5000" w:type="pct"/>
              <w:tblCellSpacing w:w="75" w:type="dxa"/>
              <w:tblCellMar>
                <w:left w:w="0" w:type="dxa"/>
                <w:right w:w="0" w:type="dxa"/>
              </w:tblCellMar>
              <w:tblLook w:val="04A0"/>
            </w:tblPr>
            <w:tblGrid>
              <w:gridCol w:w="612"/>
              <w:gridCol w:w="9498"/>
            </w:tblGrid>
            <w:tr w:rsidR="00BE732E" w:rsidRPr="00BE732E">
              <w:trPr>
                <w:tblCellSpacing w:w="75"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13.1</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20"/>
                      <w:szCs w:val="20"/>
                      <w:lang w:val="en-US" w:eastAsia="tr-TR"/>
                    </w:rPr>
                    <w:t xml:space="preserve">To be included in the FRL or FIDE Rapidplay Rating list, a player must be a member of a national chess Federation which is a member of FIDE. That is, the Federation must not be temporarily or permanently excluded from membership. </w:t>
                  </w:r>
                </w:p>
              </w:tc>
            </w:tr>
            <w:tr w:rsidR="00BE732E" w:rsidRPr="00BE732E">
              <w:trPr>
                <w:tblCellSpacing w:w="75"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13.2</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20"/>
                      <w:szCs w:val="20"/>
                      <w:lang w:val="en-US" w:eastAsia="tr-TR"/>
                    </w:rPr>
                    <w:t xml:space="preserve">It is the responsibility of national Federations to inform FIDE if players should not be included in the FRL, FRRL. </w:t>
                  </w:r>
                </w:p>
              </w:tc>
            </w:tr>
            <w:tr w:rsidR="00BE732E" w:rsidRPr="00BE732E">
              <w:trPr>
                <w:tblCellSpacing w:w="75" w:type="dxa"/>
              </w:trPr>
              <w:tc>
                <w:tcPr>
                  <w:tcW w:w="0" w:type="auto"/>
                  <w:hideMark/>
                </w:tcPr>
                <w:p w:rsidR="00BE732E" w:rsidRPr="00BE732E" w:rsidRDefault="00BE732E" w:rsidP="00BE732E">
                  <w:pPr>
                    <w:spacing w:after="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17"/>
                      <w:szCs w:val="17"/>
                      <w:lang w:eastAsia="tr-TR"/>
                    </w:rPr>
                    <w:t>13.3</w:t>
                  </w:r>
                </w:p>
              </w:tc>
              <w:tc>
                <w:tcPr>
                  <w:tcW w:w="0" w:type="auto"/>
                  <w:hideMark/>
                </w:tcPr>
                <w:p w:rsidR="00BE732E" w:rsidRPr="00BE732E" w:rsidRDefault="00BE732E" w:rsidP="00BE732E">
                  <w:pPr>
                    <w:spacing w:before="30" w:after="30" w:line="312" w:lineRule="auto"/>
                    <w:rPr>
                      <w:rFonts w:ascii="Verdana" w:eastAsia="Times New Roman" w:hAnsi="Verdana" w:cs="Times New Roman"/>
                      <w:color w:val="494949"/>
                      <w:sz w:val="17"/>
                      <w:szCs w:val="17"/>
                      <w:lang w:eastAsia="tr-TR"/>
                    </w:rPr>
                  </w:pPr>
                  <w:r w:rsidRPr="00BE732E">
                    <w:rPr>
                      <w:rFonts w:ascii="Verdana" w:eastAsia="Times New Roman" w:hAnsi="Verdana" w:cs="Times New Roman"/>
                      <w:color w:val="494949"/>
                      <w:sz w:val="20"/>
                      <w:szCs w:val="20"/>
                      <w:lang w:val="en-US" w:eastAsia="tr-TR"/>
                    </w:rPr>
                    <w:t>Any player excluded from either rating list because he is unable to obtain membership of a national Federation, my apply to FIDE for special dispensation to be included</w:t>
                  </w:r>
                </w:p>
              </w:tc>
            </w:tr>
          </w:tbl>
          <w:p w:rsidR="00BE732E" w:rsidRPr="00BE732E" w:rsidRDefault="00BE732E" w:rsidP="00BE732E">
            <w:pPr>
              <w:spacing w:after="0" w:line="312" w:lineRule="auto"/>
              <w:rPr>
                <w:rFonts w:ascii="Verdana" w:eastAsia="Times New Roman" w:hAnsi="Verdana" w:cs="Times New Roman"/>
                <w:color w:val="494949"/>
                <w:sz w:val="17"/>
                <w:szCs w:val="17"/>
                <w:lang w:eastAsia="tr-TR"/>
              </w:rPr>
            </w:pPr>
          </w:p>
        </w:tc>
      </w:tr>
    </w:tbl>
    <w:p w:rsidR="00BE732E" w:rsidRDefault="00BE732E"/>
    <w:sectPr w:rsidR="00BE732E" w:rsidSect="009665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61002A87" w:usb1="80000000" w:usb2="00000008" w:usb3="00000000" w:csb0="000101FF" w:csb1="00000000"/>
  </w:font>
  <w:font w:name="Verdana">
    <w:panose1 w:val="020B0604030504040204"/>
    <w:charset w:val="A2"/>
    <w:family w:val="swiss"/>
    <w:pitch w:val="variable"/>
    <w:sig w:usb0="20000287" w:usb1="00000000" w:usb2="00000000" w:usb3="00000000" w:csb0="0000019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BE732E"/>
    <w:rsid w:val="004067CE"/>
    <w:rsid w:val="00840D75"/>
    <w:rsid w:val="0096659D"/>
    <w:rsid w:val="00BE732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9D"/>
  </w:style>
  <w:style w:type="paragraph" w:styleId="Balk1">
    <w:name w:val="heading 1"/>
    <w:basedOn w:val="Normal"/>
    <w:link w:val="Balk1Char"/>
    <w:uiPriority w:val="9"/>
    <w:qFormat/>
    <w:rsid w:val="00BE732E"/>
    <w:pPr>
      <w:spacing w:before="150" w:after="150" w:line="240" w:lineRule="auto"/>
      <w:outlineLvl w:val="0"/>
    </w:pPr>
    <w:rPr>
      <w:rFonts w:ascii="Arial Narrow" w:eastAsia="Times New Roman" w:hAnsi="Arial Narrow" w:cs="Times New Roman"/>
      <w:b/>
      <w:bCs/>
      <w:color w:val="1E6298"/>
      <w:kern w:val="36"/>
      <w:sz w:val="46"/>
      <w:szCs w:val="4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E732E"/>
    <w:rPr>
      <w:rFonts w:ascii="Arial Narrow" w:eastAsia="Times New Roman" w:hAnsi="Arial Narrow" w:cs="Times New Roman"/>
      <w:b/>
      <w:bCs/>
      <w:color w:val="1E6298"/>
      <w:kern w:val="36"/>
      <w:sz w:val="46"/>
      <w:szCs w:val="46"/>
      <w:lang w:eastAsia="tr-TR"/>
    </w:rPr>
  </w:style>
  <w:style w:type="character" w:styleId="Kpr">
    <w:name w:val="Hyperlink"/>
    <w:basedOn w:val="VarsaylanParagrafYazTipi"/>
    <w:uiPriority w:val="99"/>
    <w:semiHidden/>
    <w:unhideWhenUsed/>
    <w:rsid w:val="00BE732E"/>
    <w:rPr>
      <w:strike w:val="0"/>
      <w:dstrike w:val="0"/>
      <w:color w:val="3791BB"/>
      <w:u w:val="none"/>
      <w:effect w:val="none"/>
    </w:rPr>
  </w:style>
  <w:style w:type="paragraph" w:styleId="NormalWeb">
    <w:name w:val="Normal (Web)"/>
    <w:basedOn w:val="Normal"/>
    <w:uiPriority w:val="99"/>
    <w:unhideWhenUsed/>
    <w:rsid w:val="00BE732E"/>
    <w:pPr>
      <w:spacing w:before="30" w:after="3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732E"/>
    <w:rPr>
      <w:b/>
      <w:bCs/>
    </w:rPr>
  </w:style>
</w:styles>
</file>

<file path=word/webSettings.xml><?xml version="1.0" encoding="utf-8"?>
<w:webSettings xmlns:r="http://schemas.openxmlformats.org/officeDocument/2006/relationships" xmlns:w="http://schemas.openxmlformats.org/wordprocessingml/2006/main">
  <w:divs>
    <w:div w:id="22171226">
      <w:bodyDiv w:val="1"/>
      <w:marLeft w:val="0"/>
      <w:marRight w:val="0"/>
      <w:marTop w:val="0"/>
      <w:marBottom w:val="0"/>
      <w:divBdr>
        <w:top w:val="none" w:sz="0" w:space="0" w:color="auto"/>
        <w:left w:val="none" w:sz="0" w:space="0" w:color="auto"/>
        <w:bottom w:val="none" w:sz="0" w:space="0" w:color="auto"/>
        <w:right w:val="none" w:sz="0" w:space="0" w:color="auto"/>
      </w:divBdr>
      <w:divsChild>
        <w:div w:id="925967396">
          <w:marLeft w:val="0"/>
          <w:marRight w:val="0"/>
          <w:marTop w:val="0"/>
          <w:marBottom w:val="0"/>
          <w:divBdr>
            <w:top w:val="none" w:sz="0" w:space="0" w:color="auto"/>
            <w:left w:val="none" w:sz="0" w:space="0" w:color="auto"/>
            <w:bottom w:val="none" w:sz="0" w:space="0" w:color="auto"/>
            <w:right w:val="none" w:sz="0" w:space="0" w:color="auto"/>
          </w:divBdr>
          <w:divsChild>
            <w:div w:id="1170683222">
              <w:marLeft w:val="0"/>
              <w:marRight w:val="0"/>
              <w:marTop w:val="0"/>
              <w:marBottom w:val="0"/>
              <w:divBdr>
                <w:top w:val="single" w:sz="2" w:space="0" w:color="CCCCCC"/>
                <w:left w:val="single" w:sz="2" w:space="0" w:color="CCCCCC"/>
                <w:bottom w:val="single" w:sz="2" w:space="0" w:color="CCCCCC"/>
                <w:right w:val="single" w:sz="2" w:space="0" w:color="CCCCCC"/>
              </w:divBdr>
              <w:divsChild>
                <w:div w:id="680012358">
                  <w:marLeft w:val="0"/>
                  <w:marRight w:val="0"/>
                  <w:marTop w:val="0"/>
                  <w:marBottom w:val="0"/>
                  <w:divBdr>
                    <w:top w:val="none" w:sz="0" w:space="0" w:color="auto"/>
                    <w:left w:val="none" w:sz="0" w:space="0" w:color="auto"/>
                    <w:bottom w:val="none" w:sz="0" w:space="0" w:color="auto"/>
                    <w:right w:val="none" w:sz="0" w:space="0" w:color="auto"/>
                  </w:divBdr>
                  <w:divsChild>
                    <w:div w:id="920136968">
                      <w:marLeft w:val="0"/>
                      <w:marRight w:val="0"/>
                      <w:marTop w:val="0"/>
                      <w:marBottom w:val="0"/>
                      <w:divBdr>
                        <w:top w:val="single" w:sz="6" w:space="0" w:color="CCCCCC"/>
                        <w:left w:val="single" w:sz="6" w:space="0" w:color="CCCCCC"/>
                        <w:bottom w:val="single" w:sz="6" w:space="0" w:color="CCCCCC"/>
                        <w:right w:val="single" w:sz="6" w:space="0" w:color="CCCCCC"/>
                      </w:divBdr>
                      <w:divsChild>
                        <w:div w:id="1174034406">
                          <w:marLeft w:val="0"/>
                          <w:marRight w:val="0"/>
                          <w:marTop w:val="0"/>
                          <w:marBottom w:val="0"/>
                          <w:divBdr>
                            <w:top w:val="none" w:sz="0" w:space="0" w:color="auto"/>
                            <w:left w:val="none" w:sz="0" w:space="0" w:color="auto"/>
                            <w:bottom w:val="none" w:sz="0" w:space="0" w:color="auto"/>
                            <w:right w:val="none" w:sz="0" w:space="0" w:color="auto"/>
                          </w:divBdr>
                          <w:divsChild>
                            <w:div w:id="1764762244">
                              <w:marLeft w:val="0"/>
                              <w:marRight w:val="0"/>
                              <w:marTop w:val="0"/>
                              <w:marBottom w:val="0"/>
                              <w:divBdr>
                                <w:top w:val="none" w:sz="0" w:space="0" w:color="auto"/>
                                <w:left w:val="none" w:sz="0" w:space="0" w:color="auto"/>
                                <w:bottom w:val="none" w:sz="0" w:space="0" w:color="auto"/>
                                <w:right w:val="none" w:sz="0" w:space="0" w:color="auto"/>
                              </w:divBdr>
                              <w:divsChild>
                                <w:div w:id="421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75155">
      <w:bodyDiv w:val="1"/>
      <w:marLeft w:val="0"/>
      <w:marRight w:val="0"/>
      <w:marTop w:val="0"/>
      <w:marBottom w:val="0"/>
      <w:divBdr>
        <w:top w:val="none" w:sz="0" w:space="0" w:color="auto"/>
        <w:left w:val="none" w:sz="0" w:space="0" w:color="auto"/>
        <w:bottom w:val="none" w:sz="0" w:space="0" w:color="auto"/>
        <w:right w:val="none" w:sz="0" w:space="0" w:color="auto"/>
      </w:divBdr>
      <w:divsChild>
        <w:div w:id="1279141207">
          <w:marLeft w:val="0"/>
          <w:marRight w:val="0"/>
          <w:marTop w:val="0"/>
          <w:marBottom w:val="0"/>
          <w:divBdr>
            <w:top w:val="none" w:sz="0" w:space="0" w:color="auto"/>
            <w:left w:val="none" w:sz="0" w:space="0" w:color="auto"/>
            <w:bottom w:val="none" w:sz="0" w:space="0" w:color="auto"/>
            <w:right w:val="none" w:sz="0" w:space="0" w:color="auto"/>
          </w:divBdr>
          <w:divsChild>
            <w:div w:id="321666041">
              <w:marLeft w:val="0"/>
              <w:marRight w:val="0"/>
              <w:marTop w:val="0"/>
              <w:marBottom w:val="0"/>
              <w:divBdr>
                <w:top w:val="single" w:sz="2" w:space="0" w:color="CCCCCC"/>
                <w:left w:val="single" w:sz="2" w:space="0" w:color="CCCCCC"/>
                <w:bottom w:val="single" w:sz="2" w:space="0" w:color="CCCCCC"/>
                <w:right w:val="single" w:sz="2" w:space="0" w:color="CCCCCC"/>
              </w:divBdr>
              <w:divsChild>
                <w:div w:id="2017806492">
                  <w:marLeft w:val="0"/>
                  <w:marRight w:val="0"/>
                  <w:marTop w:val="0"/>
                  <w:marBottom w:val="0"/>
                  <w:divBdr>
                    <w:top w:val="none" w:sz="0" w:space="0" w:color="auto"/>
                    <w:left w:val="none" w:sz="0" w:space="0" w:color="auto"/>
                    <w:bottom w:val="none" w:sz="0" w:space="0" w:color="auto"/>
                    <w:right w:val="none" w:sz="0" w:space="0" w:color="auto"/>
                  </w:divBdr>
                  <w:divsChild>
                    <w:div w:id="981235046">
                      <w:marLeft w:val="0"/>
                      <w:marRight w:val="0"/>
                      <w:marTop w:val="0"/>
                      <w:marBottom w:val="0"/>
                      <w:divBdr>
                        <w:top w:val="single" w:sz="6" w:space="0" w:color="CCCCCC"/>
                        <w:left w:val="single" w:sz="6" w:space="0" w:color="CCCCCC"/>
                        <w:bottom w:val="single" w:sz="6" w:space="0" w:color="CCCCCC"/>
                        <w:right w:val="single" w:sz="6" w:space="0" w:color="CCCCCC"/>
                      </w:divBdr>
                      <w:divsChild>
                        <w:div w:id="188566805">
                          <w:marLeft w:val="0"/>
                          <w:marRight w:val="0"/>
                          <w:marTop w:val="0"/>
                          <w:marBottom w:val="0"/>
                          <w:divBdr>
                            <w:top w:val="none" w:sz="0" w:space="0" w:color="auto"/>
                            <w:left w:val="none" w:sz="0" w:space="0" w:color="auto"/>
                            <w:bottom w:val="none" w:sz="0" w:space="0" w:color="auto"/>
                            <w:right w:val="none" w:sz="0" w:space="0" w:color="auto"/>
                          </w:divBdr>
                          <w:divsChild>
                            <w:div w:id="1927423859">
                              <w:marLeft w:val="0"/>
                              <w:marRight w:val="0"/>
                              <w:marTop w:val="0"/>
                              <w:marBottom w:val="0"/>
                              <w:divBdr>
                                <w:top w:val="none" w:sz="0" w:space="0" w:color="auto"/>
                                <w:left w:val="none" w:sz="0" w:space="0" w:color="auto"/>
                                <w:bottom w:val="none" w:sz="0" w:space="0" w:color="auto"/>
                                <w:right w:val="none" w:sz="0" w:space="0" w:color="auto"/>
                              </w:divBdr>
                              <w:divsChild>
                                <w:div w:id="213139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629962">
      <w:bodyDiv w:val="1"/>
      <w:marLeft w:val="0"/>
      <w:marRight w:val="0"/>
      <w:marTop w:val="0"/>
      <w:marBottom w:val="0"/>
      <w:divBdr>
        <w:top w:val="none" w:sz="0" w:space="0" w:color="auto"/>
        <w:left w:val="none" w:sz="0" w:space="0" w:color="auto"/>
        <w:bottom w:val="none" w:sz="0" w:space="0" w:color="auto"/>
        <w:right w:val="none" w:sz="0" w:space="0" w:color="auto"/>
      </w:divBdr>
      <w:divsChild>
        <w:div w:id="1445614118">
          <w:marLeft w:val="0"/>
          <w:marRight w:val="0"/>
          <w:marTop w:val="0"/>
          <w:marBottom w:val="0"/>
          <w:divBdr>
            <w:top w:val="none" w:sz="0" w:space="0" w:color="auto"/>
            <w:left w:val="none" w:sz="0" w:space="0" w:color="auto"/>
            <w:bottom w:val="none" w:sz="0" w:space="0" w:color="auto"/>
            <w:right w:val="none" w:sz="0" w:space="0" w:color="auto"/>
          </w:divBdr>
          <w:divsChild>
            <w:div w:id="2034377289">
              <w:marLeft w:val="0"/>
              <w:marRight w:val="0"/>
              <w:marTop w:val="0"/>
              <w:marBottom w:val="0"/>
              <w:divBdr>
                <w:top w:val="single" w:sz="2" w:space="0" w:color="CCCCCC"/>
                <w:left w:val="single" w:sz="2" w:space="0" w:color="CCCCCC"/>
                <w:bottom w:val="single" w:sz="2" w:space="0" w:color="CCCCCC"/>
                <w:right w:val="single" w:sz="2" w:space="0" w:color="CCCCCC"/>
              </w:divBdr>
              <w:divsChild>
                <w:div w:id="1931888181">
                  <w:marLeft w:val="0"/>
                  <w:marRight w:val="0"/>
                  <w:marTop w:val="0"/>
                  <w:marBottom w:val="0"/>
                  <w:divBdr>
                    <w:top w:val="none" w:sz="0" w:space="0" w:color="auto"/>
                    <w:left w:val="none" w:sz="0" w:space="0" w:color="auto"/>
                    <w:bottom w:val="none" w:sz="0" w:space="0" w:color="auto"/>
                    <w:right w:val="none" w:sz="0" w:space="0" w:color="auto"/>
                  </w:divBdr>
                  <w:divsChild>
                    <w:div w:id="1953900923">
                      <w:marLeft w:val="0"/>
                      <w:marRight w:val="0"/>
                      <w:marTop w:val="0"/>
                      <w:marBottom w:val="0"/>
                      <w:divBdr>
                        <w:top w:val="single" w:sz="6" w:space="0" w:color="CCCCCC"/>
                        <w:left w:val="single" w:sz="6" w:space="0" w:color="CCCCCC"/>
                        <w:bottom w:val="single" w:sz="6" w:space="0" w:color="CCCCCC"/>
                        <w:right w:val="single" w:sz="6" w:space="0" w:color="CCCCCC"/>
                      </w:divBdr>
                      <w:divsChild>
                        <w:div w:id="1635211386">
                          <w:marLeft w:val="0"/>
                          <w:marRight w:val="0"/>
                          <w:marTop w:val="0"/>
                          <w:marBottom w:val="0"/>
                          <w:divBdr>
                            <w:top w:val="none" w:sz="0" w:space="0" w:color="auto"/>
                            <w:left w:val="none" w:sz="0" w:space="0" w:color="auto"/>
                            <w:bottom w:val="none" w:sz="0" w:space="0" w:color="auto"/>
                            <w:right w:val="none" w:sz="0" w:space="0" w:color="auto"/>
                          </w:divBdr>
                          <w:divsChild>
                            <w:div w:id="1554846824">
                              <w:marLeft w:val="0"/>
                              <w:marRight w:val="0"/>
                              <w:marTop w:val="0"/>
                              <w:marBottom w:val="0"/>
                              <w:divBdr>
                                <w:top w:val="none" w:sz="0" w:space="0" w:color="auto"/>
                                <w:left w:val="none" w:sz="0" w:space="0" w:color="auto"/>
                                <w:bottom w:val="none" w:sz="0" w:space="0" w:color="auto"/>
                                <w:right w:val="none" w:sz="0" w:space="0" w:color="auto"/>
                              </w:divBdr>
                              <w:divsChild>
                                <w:div w:id="152917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2587795">
      <w:bodyDiv w:val="1"/>
      <w:marLeft w:val="0"/>
      <w:marRight w:val="0"/>
      <w:marTop w:val="0"/>
      <w:marBottom w:val="0"/>
      <w:divBdr>
        <w:top w:val="none" w:sz="0" w:space="0" w:color="auto"/>
        <w:left w:val="none" w:sz="0" w:space="0" w:color="auto"/>
        <w:bottom w:val="none" w:sz="0" w:space="0" w:color="auto"/>
        <w:right w:val="none" w:sz="0" w:space="0" w:color="auto"/>
      </w:divBdr>
      <w:divsChild>
        <w:div w:id="1098137465">
          <w:marLeft w:val="0"/>
          <w:marRight w:val="0"/>
          <w:marTop w:val="0"/>
          <w:marBottom w:val="0"/>
          <w:divBdr>
            <w:top w:val="none" w:sz="0" w:space="0" w:color="auto"/>
            <w:left w:val="none" w:sz="0" w:space="0" w:color="auto"/>
            <w:bottom w:val="none" w:sz="0" w:space="0" w:color="auto"/>
            <w:right w:val="none" w:sz="0" w:space="0" w:color="auto"/>
          </w:divBdr>
          <w:divsChild>
            <w:div w:id="1093864861">
              <w:marLeft w:val="0"/>
              <w:marRight w:val="0"/>
              <w:marTop w:val="0"/>
              <w:marBottom w:val="0"/>
              <w:divBdr>
                <w:top w:val="single" w:sz="2" w:space="0" w:color="CCCCCC"/>
                <w:left w:val="single" w:sz="2" w:space="0" w:color="CCCCCC"/>
                <w:bottom w:val="single" w:sz="2" w:space="0" w:color="CCCCCC"/>
                <w:right w:val="single" w:sz="2" w:space="0" w:color="CCCCCC"/>
              </w:divBdr>
              <w:divsChild>
                <w:div w:id="2046640705">
                  <w:marLeft w:val="0"/>
                  <w:marRight w:val="0"/>
                  <w:marTop w:val="0"/>
                  <w:marBottom w:val="0"/>
                  <w:divBdr>
                    <w:top w:val="none" w:sz="0" w:space="0" w:color="auto"/>
                    <w:left w:val="none" w:sz="0" w:space="0" w:color="auto"/>
                    <w:bottom w:val="none" w:sz="0" w:space="0" w:color="auto"/>
                    <w:right w:val="none" w:sz="0" w:space="0" w:color="auto"/>
                  </w:divBdr>
                  <w:divsChild>
                    <w:div w:id="749355372">
                      <w:marLeft w:val="0"/>
                      <w:marRight w:val="0"/>
                      <w:marTop w:val="0"/>
                      <w:marBottom w:val="0"/>
                      <w:divBdr>
                        <w:top w:val="single" w:sz="6" w:space="0" w:color="CCCCCC"/>
                        <w:left w:val="single" w:sz="6" w:space="0" w:color="CCCCCC"/>
                        <w:bottom w:val="single" w:sz="6" w:space="0" w:color="CCCCCC"/>
                        <w:right w:val="single" w:sz="6" w:space="0" w:color="CCCCCC"/>
                      </w:divBdr>
                      <w:divsChild>
                        <w:div w:id="7100406">
                          <w:marLeft w:val="0"/>
                          <w:marRight w:val="0"/>
                          <w:marTop w:val="0"/>
                          <w:marBottom w:val="0"/>
                          <w:divBdr>
                            <w:top w:val="none" w:sz="0" w:space="0" w:color="auto"/>
                            <w:left w:val="none" w:sz="0" w:space="0" w:color="auto"/>
                            <w:bottom w:val="none" w:sz="0" w:space="0" w:color="auto"/>
                            <w:right w:val="none" w:sz="0" w:space="0" w:color="auto"/>
                          </w:divBdr>
                          <w:divsChild>
                            <w:div w:id="1349327971">
                              <w:marLeft w:val="0"/>
                              <w:marRight w:val="0"/>
                              <w:marTop w:val="0"/>
                              <w:marBottom w:val="0"/>
                              <w:divBdr>
                                <w:top w:val="none" w:sz="0" w:space="0" w:color="auto"/>
                                <w:left w:val="none" w:sz="0" w:space="0" w:color="auto"/>
                                <w:bottom w:val="none" w:sz="0" w:space="0" w:color="auto"/>
                                <w:right w:val="none" w:sz="0" w:space="0" w:color="auto"/>
                              </w:divBdr>
                              <w:divsChild>
                                <w:div w:id="130720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647244">
      <w:bodyDiv w:val="1"/>
      <w:marLeft w:val="0"/>
      <w:marRight w:val="0"/>
      <w:marTop w:val="0"/>
      <w:marBottom w:val="0"/>
      <w:divBdr>
        <w:top w:val="none" w:sz="0" w:space="0" w:color="auto"/>
        <w:left w:val="none" w:sz="0" w:space="0" w:color="auto"/>
        <w:bottom w:val="none" w:sz="0" w:space="0" w:color="auto"/>
        <w:right w:val="none" w:sz="0" w:space="0" w:color="auto"/>
      </w:divBdr>
      <w:divsChild>
        <w:div w:id="759371481">
          <w:marLeft w:val="0"/>
          <w:marRight w:val="0"/>
          <w:marTop w:val="0"/>
          <w:marBottom w:val="0"/>
          <w:divBdr>
            <w:top w:val="none" w:sz="0" w:space="0" w:color="auto"/>
            <w:left w:val="none" w:sz="0" w:space="0" w:color="auto"/>
            <w:bottom w:val="none" w:sz="0" w:space="0" w:color="auto"/>
            <w:right w:val="none" w:sz="0" w:space="0" w:color="auto"/>
          </w:divBdr>
          <w:divsChild>
            <w:div w:id="2081439045">
              <w:marLeft w:val="0"/>
              <w:marRight w:val="0"/>
              <w:marTop w:val="0"/>
              <w:marBottom w:val="0"/>
              <w:divBdr>
                <w:top w:val="single" w:sz="2" w:space="0" w:color="CCCCCC"/>
                <w:left w:val="single" w:sz="2" w:space="0" w:color="CCCCCC"/>
                <w:bottom w:val="single" w:sz="2" w:space="0" w:color="CCCCCC"/>
                <w:right w:val="single" w:sz="2" w:space="0" w:color="CCCCCC"/>
              </w:divBdr>
              <w:divsChild>
                <w:div w:id="231349670">
                  <w:marLeft w:val="0"/>
                  <w:marRight w:val="0"/>
                  <w:marTop w:val="0"/>
                  <w:marBottom w:val="0"/>
                  <w:divBdr>
                    <w:top w:val="none" w:sz="0" w:space="0" w:color="auto"/>
                    <w:left w:val="none" w:sz="0" w:space="0" w:color="auto"/>
                    <w:bottom w:val="none" w:sz="0" w:space="0" w:color="auto"/>
                    <w:right w:val="none" w:sz="0" w:space="0" w:color="auto"/>
                  </w:divBdr>
                  <w:divsChild>
                    <w:div w:id="2014381363">
                      <w:marLeft w:val="0"/>
                      <w:marRight w:val="0"/>
                      <w:marTop w:val="0"/>
                      <w:marBottom w:val="0"/>
                      <w:divBdr>
                        <w:top w:val="single" w:sz="6" w:space="0" w:color="CCCCCC"/>
                        <w:left w:val="single" w:sz="6" w:space="0" w:color="CCCCCC"/>
                        <w:bottom w:val="single" w:sz="6" w:space="0" w:color="CCCCCC"/>
                        <w:right w:val="single" w:sz="6" w:space="0" w:color="CCCCCC"/>
                      </w:divBdr>
                      <w:divsChild>
                        <w:div w:id="1696074449">
                          <w:marLeft w:val="0"/>
                          <w:marRight w:val="0"/>
                          <w:marTop w:val="0"/>
                          <w:marBottom w:val="0"/>
                          <w:divBdr>
                            <w:top w:val="none" w:sz="0" w:space="0" w:color="auto"/>
                            <w:left w:val="none" w:sz="0" w:space="0" w:color="auto"/>
                            <w:bottom w:val="none" w:sz="0" w:space="0" w:color="auto"/>
                            <w:right w:val="none" w:sz="0" w:space="0" w:color="auto"/>
                          </w:divBdr>
                          <w:divsChild>
                            <w:div w:id="674113778">
                              <w:marLeft w:val="0"/>
                              <w:marRight w:val="0"/>
                              <w:marTop w:val="0"/>
                              <w:marBottom w:val="0"/>
                              <w:divBdr>
                                <w:top w:val="none" w:sz="0" w:space="0" w:color="auto"/>
                                <w:left w:val="none" w:sz="0" w:space="0" w:color="auto"/>
                                <w:bottom w:val="none" w:sz="0" w:space="0" w:color="auto"/>
                                <w:right w:val="none" w:sz="0" w:space="0" w:color="auto"/>
                              </w:divBdr>
                              <w:divsChild>
                                <w:div w:id="113189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646317">
      <w:bodyDiv w:val="1"/>
      <w:marLeft w:val="0"/>
      <w:marRight w:val="0"/>
      <w:marTop w:val="0"/>
      <w:marBottom w:val="0"/>
      <w:divBdr>
        <w:top w:val="none" w:sz="0" w:space="0" w:color="auto"/>
        <w:left w:val="none" w:sz="0" w:space="0" w:color="auto"/>
        <w:bottom w:val="none" w:sz="0" w:space="0" w:color="auto"/>
        <w:right w:val="none" w:sz="0" w:space="0" w:color="auto"/>
      </w:divBdr>
      <w:divsChild>
        <w:div w:id="147135644">
          <w:marLeft w:val="0"/>
          <w:marRight w:val="0"/>
          <w:marTop w:val="0"/>
          <w:marBottom w:val="0"/>
          <w:divBdr>
            <w:top w:val="none" w:sz="0" w:space="0" w:color="auto"/>
            <w:left w:val="none" w:sz="0" w:space="0" w:color="auto"/>
            <w:bottom w:val="none" w:sz="0" w:space="0" w:color="auto"/>
            <w:right w:val="none" w:sz="0" w:space="0" w:color="auto"/>
          </w:divBdr>
          <w:divsChild>
            <w:div w:id="461847019">
              <w:marLeft w:val="0"/>
              <w:marRight w:val="0"/>
              <w:marTop w:val="0"/>
              <w:marBottom w:val="0"/>
              <w:divBdr>
                <w:top w:val="single" w:sz="2" w:space="0" w:color="CCCCCC"/>
                <w:left w:val="single" w:sz="2" w:space="0" w:color="CCCCCC"/>
                <w:bottom w:val="single" w:sz="2" w:space="0" w:color="CCCCCC"/>
                <w:right w:val="single" w:sz="2" w:space="0" w:color="CCCCCC"/>
              </w:divBdr>
              <w:divsChild>
                <w:div w:id="1752315124">
                  <w:marLeft w:val="0"/>
                  <w:marRight w:val="0"/>
                  <w:marTop w:val="0"/>
                  <w:marBottom w:val="0"/>
                  <w:divBdr>
                    <w:top w:val="none" w:sz="0" w:space="0" w:color="auto"/>
                    <w:left w:val="none" w:sz="0" w:space="0" w:color="auto"/>
                    <w:bottom w:val="none" w:sz="0" w:space="0" w:color="auto"/>
                    <w:right w:val="none" w:sz="0" w:space="0" w:color="auto"/>
                  </w:divBdr>
                  <w:divsChild>
                    <w:div w:id="1661038706">
                      <w:marLeft w:val="0"/>
                      <w:marRight w:val="0"/>
                      <w:marTop w:val="0"/>
                      <w:marBottom w:val="0"/>
                      <w:divBdr>
                        <w:top w:val="single" w:sz="6" w:space="0" w:color="CCCCCC"/>
                        <w:left w:val="single" w:sz="6" w:space="0" w:color="CCCCCC"/>
                        <w:bottom w:val="single" w:sz="6" w:space="0" w:color="CCCCCC"/>
                        <w:right w:val="single" w:sz="6" w:space="0" w:color="CCCCCC"/>
                      </w:divBdr>
                      <w:divsChild>
                        <w:div w:id="921792192">
                          <w:marLeft w:val="0"/>
                          <w:marRight w:val="0"/>
                          <w:marTop w:val="0"/>
                          <w:marBottom w:val="0"/>
                          <w:divBdr>
                            <w:top w:val="none" w:sz="0" w:space="0" w:color="auto"/>
                            <w:left w:val="none" w:sz="0" w:space="0" w:color="auto"/>
                            <w:bottom w:val="none" w:sz="0" w:space="0" w:color="auto"/>
                            <w:right w:val="none" w:sz="0" w:space="0" w:color="auto"/>
                          </w:divBdr>
                          <w:divsChild>
                            <w:div w:id="214857611">
                              <w:marLeft w:val="0"/>
                              <w:marRight w:val="0"/>
                              <w:marTop w:val="0"/>
                              <w:marBottom w:val="0"/>
                              <w:divBdr>
                                <w:top w:val="none" w:sz="0" w:space="0" w:color="auto"/>
                                <w:left w:val="none" w:sz="0" w:space="0" w:color="auto"/>
                                <w:bottom w:val="none" w:sz="0" w:space="0" w:color="auto"/>
                                <w:right w:val="none" w:sz="0" w:space="0" w:color="auto"/>
                              </w:divBdr>
                              <w:divsChild>
                                <w:div w:id="130773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246820">
      <w:bodyDiv w:val="1"/>
      <w:marLeft w:val="0"/>
      <w:marRight w:val="0"/>
      <w:marTop w:val="0"/>
      <w:marBottom w:val="0"/>
      <w:divBdr>
        <w:top w:val="none" w:sz="0" w:space="0" w:color="auto"/>
        <w:left w:val="none" w:sz="0" w:space="0" w:color="auto"/>
        <w:bottom w:val="none" w:sz="0" w:space="0" w:color="auto"/>
        <w:right w:val="none" w:sz="0" w:space="0" w:color="auto"/>
      </w:divBdr>
      <w:divsChild>
        <w:div w:id="2123644073">
          <w:marLeft w:val="0"/>
          <w:marRight w:val="0"/>
          <w:marTop w:val="0"/>
          <w:marBottom w:val="0"/>
          <w:divBdr>
            <w:top w:val="none" w:sz="0" w:space="0" w:color="auto"/>
            <w:left w:val="none" w:sz="0" w:space="0" w:color="auto"/>
            <w:bottom w:val="none" w:sz="0" w:space="0" w:color="auto"/>
            <w:right w:val="none" w:sz="0" w:space="0" w:color="auto"/>
          </w:divBdr>
          <w:divsChild>
            <w:div w:id="354967155">
              <w:marLeft w:val="0"/>
              <w:marRight w:val="0"/>
              <w:marTop w:val="0"/>
              <w:marBottom w:val="0"/>
              <w:divBdr>
                <w:top w:val="single" w:sz="2" w:space="0" w:color="CCCCCC"/>
                <w:left w:val="single" w:sz="2" w:space="0" w:color="CCCCCC"/>
                <w:bottom w:val="single" w:sz="2" w:space="0" w:color="CCCCCC"/>
                <w:right w:val="single" w:sz="2" w:space="0" w:color="CCCCCC"/>
              </w:divBdr>
              <w:divsChild>
                <w:div w:id="1770932797">
                  <w:marLeft w:val="0"/>
                  <w:marRight w:val="0"/>
                  <w:marTop w:val="0"/>
                  <w:marBottom w:val="0"/>
                  <w:divBdr>
                    <w:top w:val="none" w:sz="0" w:space="0" w:color="auto"/>
                    <w:left w:val="none" w:sz="0" w:space="0" w:color="auto"/>
                    <w:bottom w:val="none" w:sz="0" w:space="0" w:color="auto"/>
                    <w:right w:val="none" w:sz="0" w:space="0" w:color="auto"/>
                  </w:divBdr>
                  <w:divsChild>
                    <w:div w:id="1703902102">
                      <w:marLeft w:val="0"/>
                      <w:marRight w:val="0"/>
                      <w:marTop w:val="0"/>
                      <w:marBottom w:val="0"/>
                      <w:divBdr>
                        <w:top w:val="single" w:sz="6" w:space="0" w:color="CCCCCC"/>
                        <w:left w:val="single" w:sz="6" w:space="0" w:color="CCCCCC"/>
                        <w:bottom w:val="single" w:sz="6" w:space="0" w:color="CCCCCC"/>
                        <w:right w:val="single" w:sz="6" w:space="0" w:color="CCCCCC"/>
                      </w:divBdr>
                      <w:divsChild>
                        <w:div w:id="998462559">
                          <w:marLeft w:val="0"/>
                          <w:marRight w:val="0"/>
                          <w:marTop w:val="0"/>
                          <w:marBottom w:val="0"/>
                          <w:divBdr>
                            <w:top w:val="none" w:sz="0" w:space="0" w:color="auto"/>
                            <w:left w:val="none" w:sz="0" w:space="0" w:color="auto"/>
                            <w:bottom w:val="none" w:sz="0" w:space="0" w:color="auto"/>
                            <w:right w:val="none" w:sz="0" w:space="0" w:color="auto"/>
                          </w:divBdr>
                          <w:divsChild>
                            <w:div w:id="370769857">
                              <w:marLeft w:val="0"/>
                              <w:marRight w:val="0"/>
                              <w:marTop w:val="0"/>
                              <w:marBottom w:val="0"/>
                              <w:divBdr>
                                <w:top w:val="none" w:sz="0" w:space="0" w:color="auto"/>
                                <w:left w:val="none" w:sz="0" w:space="0" w:color="auto"/>
                                <w:bottom w:val="none" w:sz="0" w:space="0" w:color="auto"/>
                                <w:right w:val="none" w:sz="0" w:space="0" w:color="auto"/>
                              </w:divBdr>
                              <w:divsChild>
                                <w:div w:id="40680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822919">
      <w:bodyDiv w:val="1"/>
      <w:marLeft w:val="0"/>
      <w:marRight w:val="0"/>
      <w:marTop w:val="0"/>
      <w:marBottom w:val="0"/>
      <w:divBdr>
        <w:top w:val="none" w:sz="0" w:space="0" w:color="auto"/>
        <w:left w:val="none" w:sz="0" w:space="0" w:color="auto"/>
        <w:bottom w:val="none" w:sz="0" w:space="0" w:color="auto"/>
        <w:right w:val="none" w:sz="0" w:space="0" w:color="auto"/>
      </w:divBdr>
      <w:divsChild>
        <w:div w:id="1075080721">
          <w:marLeft w:val="0"/>
          <w:marRight w:val="0"/>
          <w:marTop w:val="0"/>
          <w:marBottom w:val="0"/>
          <w:divBdr>
            <w:top w:val="none" w:sz="0" w:space="0" w:color="auto"/>
            <w:left w:val="none" w:sz="0" w:space="0" w:color="auto"/>
            <w:bottom w:val="none" w:sz="0" w:space="0" w:color="auto"/>
            <w:right w:val="none" w:sz="0" w:space="0" w:color="auto"/>
          </w:divBdr>
          <w:divsChild>
            <w:div w:id="1380007448">
              <w:marLeft w:val="0"/>
              <w:marRight w:val="0"/>
              <w:marTop w:val="0"/>
              <w:marBottom w:val="0"/>
              <w:divBdr>
                <w:top w:val="single" w:sz="2" w:space="0" w:color="CCCCCC"/>
                <w:left w:val="single" w:sz="2" w:space="0" w:color="CCCCCC"/>
                <w:bottom w:val="single" w:sz="2" w:space="0" w:color="CCCCCC"/>
                <w:right w:val="single" w:sz="2" w:space="0" w:color="CCCCCC"/>
              </w:divBdr>
              <w:divsChild>
                <w:div w:id="665211625">
                  <w:marLeft w:val="0"/>
                  <w:marRight w:val="0"/>
                  <w:marTop w:val="0"/>
                  <w:marBottom w:val="0"/>
                  <w:divBdr>
                    <w:top w:val="none" w:sz="0" w:space="0" w:color="auto"/>
                    <w:left w:val="none" w:sz="0" w:space="0" w:color="auto"/>
                    <w:bottom w:val="none" w:sz="0" w:space="0" w:color="auto"/>
                    <w:right w:val="none" w:sz="0" w:space="0" w:color="auto"/>
                  </w:divBdr>
                  <w:divsChild>
                    <w:div w:id="1586495686">
                      <w:marLeft w:val="0"/>
                      <w:marRight w:val="0"/>
                      <w:marTop w:val="0"/>
                      <w:marBottom w:val="0"/>
                      <w:divBdr>
                        <w:top w:val="single" w:sz="6" w:space="0" w:color="CCCCCC"/>
                        <w:left w:val="single" w:sz="6" w:space="0" w:color="CCCCCC"/>
                        <w:bottom w:val="single" w:sz="6" w:space="0" w:color="CCCCCC"/>
                        <w:right w:val="single" w:sz="6" w:space="0" w:color="CCCCCC"/>
                      </w:divBdr>
                      <w:divsChild>
                        <w:div w:id="2001806681">
                          <w:marLeft w:val="0"/>
                          <w:marRight w:val="0"/>
                          <w:marTop w:val="0"/>
                          <w:marBottom w:val="0"/>
                          <w:divBdr>
                            <w:top w:val="none" w:sz="0" w:space="0" w:color="auto"/>
                            <w:left w:val="none" w:sz="0" w:space="0" w:color="auto"/>
                            <w:bottom w:val="none" w:sz="0" w:space="0" w:color="auto"/>
                            <w:right w:val="none" w:sz="0" w:space="0" w:color="auto"/>
                          </w:divBdr>
                          <w:divsChild>
                            <w:div w:id="903176712">
                              <w:marLeft w:val="0"/>
                              <w:marRight w:val="0"/>
                              <w:marTop w:val="0"/>
                              <w:marBottom w:val="0"/>
                              <w:divBdr>
                                <w:top w:val="none" w:sz="0" w:space="0" w:color="auto"/>
                                <w:left w:val="none" w:sz="0" w:space="0" w:color="auto"/>
                                <w:bottom w:val="none" w:sz="0" w:space="0" w:color="auto"/>
                                <w:right w:val="none" w:sz="0" w:space="0" w:color="auto"/>
                              </w:divBdr>
                              <w:divsChild>
                                <w:div w:id="2061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877919">
      <w:bodyDiv w:val="1"/>
      <w:marLeft w:val="0"/>
      <w:marRight w:val="0"/>
      <w:marTop w:val="0"/>
      <w:marBottom w:val="0"/>
      <w:divBdr>
        <w:top w:val="none" w:sz="0" w:space="0" w:color="auto"/>
        <w:left w:val="none" w:sz="0" w:space="0" w:color="auto"/>
        <w:bottom w:val="none" w:sz="0" w:space="0" w:color="auto"/>
        <w:right w:val="none" w:sz="0" w:space="0" w:color="auto"/>
      </w:divBdr>
      <w:divsChild>
        <w:div w:id="293173962">
          <w:marLeft w:val="0"/>
          <w:marRight w:val="0"/>
          <w:marTop w:val="0"/>
          <w:marBottom w:val="0"/>
          <w:divBdr>
            <w:top w:val="none" w:sz="0" w:space="0" w:color="auto"/>
            <w:left w:val="none" w:sz="0" w:space="0" w:color="auto"/>
            <w:bottom w:val="none" w:sz="0" w:space="0" w:color="auto"/>
            <w:right w:val="none" w:sz="0" w:space="0" w:color="auto"/>
          </w:divBdr>
          <w:divsChild>
            <w:div w:id="1706904074">
              <w:marLeft w:val="0"/>
              <w:marRight w:val="0"/>
              <w:marTop w:val="0"/>
              <w:marBottom w:val="0"/>
              <w:divBdr>
                <w:top w:val="single" w:sz="2" w:space="0" w:color="CCCCCC"/>
                <w:left w:val="single" w:sz="2" w:space="0" w:color="CCCCCC"/>
                <w:bottom w:val="single" w:sz="2" w:space="0" w:color="CCCCCC"/>
                <w:right w:val="single" w:sz="2" w:space="0" w:color="CCCCCC"/>
              </w:divBdr>
              <w:divsChild>
                <w:div w:id="50034125">
                  <w:marLeft w:val="0"/>
                  <w:marRight w:val="0"/>
                  <w:marTop w:val="0"/>
                  <w:marBottom w:val="0"/>
                  <w:divBdr>
                    <w:top w:val="none" w:sz="0" w:space="0" w:color="auto"/>
                    <w:left w:val="none" w:sz="0" w:space="0" w:color="auto"/>
                    <w:bottom w:val="none" w:sz="0" w:space="0" w:color="auto"/>
                    <w:right w:val="none" w:sz="0" w:space="0" w:color="auto"/>
                  </w:divBdr>
                  <w:divsChild>
                    <w:div w:id="1476410285">
                      <w:marLeft w:val="0"/>
                      <w:marRight w:val="0"/>
                      <w:marTop w:val="0"/>
                      <w:marBottom w:val="0"/>
                      <w:divBdr>
                        <w:top w:val="single" w:sz="6" w:space="0" w:color="CCCCCC"/>
                        <w:left w:val="single" w:sz="6" w:space="0" w:color="CCCCCC"/>
                        <w:bottom w:val="single" w:sz="6" w:space="0" w:color="CCCCCC"/>
                        <w:right w:val="single" w:sz="6" w:space="0" w:color="CCCCCC"/>
                      </w:divBdr>
                      <w:divsChild>
                        <w:div w:id="952126154">
                          <w:marLeft w:val="0"/>
                          <w:marRight w:val="0"/>
                          <w:marTop w:val="0"/>
                          <w:marBottom w:val="0"/>
                          <w:divBdr>
                            <w:top w:val="none" w:sz="0" w:space="0" w:color="auto"/>
                            <w:left w:val="none" w:sz="0" w:space="0" w:color="auto"/>
                            <w:bottom w:val="none" w:sz="0" w:space="0" w:color="auto"/>
                            <w:right w:val="none" w:sz="0" w:space="0" w:color="auto"/>
                          </w:divBdr>
                          <w:divsChild>
                            <w:div w:id="156306601">
                              <w:marLeft w:val="0"/>
                              <w:marRight w:val="0"/>
                              <w:marTop w:val="0"/>
                              <w:marBottom w:val="0"/>
                              <w:divBdr>
                                <w:top w:val="none" w:sz="0" w:space="0" w:color="auto"/>
                                <w:left w:val="none" w:sz="0" w:space="0" w:color="auto"/>
                                <w:bottom w:val="none" w:sz="0" w:space="0" w:color="auto"/>
                                <w:right w:val="none" w:sz="0" w:space="0" w:color="auto"/>
                              </w:divBdr>
                              <w:divsChild>
                                <w:div w:id="19045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06161">
      <w:bodyDiv w:val="1"/>
      <w:marLeft w:val="0"/>
      <w:marRight w:val="0"/>
      <w:marTop w:val="0"/>
      <w:marBottom w:val="0"/>
      <w:divBdr>
        <w:top w:val="none" w:sz="0" w:space="0" w:color="auto"/>
        <w:left w:val="none" w:sz="0" w:space="0" w:color="auto"/>
        <w:bottom w:val="none" w:sz="0" w:space="0" w:color="auto"/>
        <w:right w:val="none" w:sz="0" w:space="0" w:color="auto"/>
      </w:divBdr>
      <w:divsChild>
        <w:div w:id="1153909489">
          <w:marLeft w:val="0"/>
          <w:marRight w:val="0"/>
          <w:marTop w:val="0"/>
          <w:marBottom w:val="0"/>
          <w:divBdr>
            <w:top w:val="none" w:sz="0" w:space="0" w:color="auto"/>
            <w:left w:val="none" w:sz="0" w:space="0" w:color="auto"/>
            <w:bottom w:val="none" w:sz="0" w:space="0" w:color="auto"/>
            <w:right w:val="none" w:sz="0" w:space="0" w:color="auto"/>
          </w:divBdr>
          <w:divsChild>
            <w:div w:id="449399131">
              <w:marLeft w:val="0"/>
              <w:marRight w:val="0"/>
              <w:marTop w:val="0"/>
              <w:marBottom w:val="0"/>
              <w:divBdr>
                <w:top w:val="single" w:sz="2" w:space="0" w:color="CCCCCC"/>
                <w:left w:val="single" w:sz="2" w:space="0" w:color="CCCCCC"/>
                <w:bottom w:val="single" w:sz="2" w:space="0" w:color="CCCCCC"/>
                <w:right w:val="single" w:sz="2" w:space="0" w:color="CCCCCC"/>
              </w:divBdr>
              <w:divsChild>
                <w:div w:id="1830708342">
                  <w:marLeft w:val="0"/>
                  <w:marRight w:val="0"/>
                  <w:marTop w:val="0"/>
                  <w:marBottom w:val="0"/>
                  <w:divBdr>
                    <w:top w:val="none" w:sz="0" w:space="0" w:color="auto"/>
                    <w:left w:val="none" w:sz="0" w:space="0" w:color="auto"/>
                    <w:bottom w:val="none" w:sz="0" w:space="0" w:color="auto"/>
                    <w:right w:val="none" w:sz="0" w:space="0" w:color="auto"/>
                  </w:divBdr>
                  <w:divsChild>
                    <w:div w:id="1361541632">
                      <w:marLeft w:val="0"/>
                      <w:marRight w:val="0"/>
                      <w:marTop w:val="0"/>
                      <w:marBottom w:val="0"/>
                      <w:divBdr>
                        <w:top w:val="single" w:sz="6" w:space="0" w:color="CCCCCC"/>
                        <w:left w:val="single" w:sz="6" w:space="0" w:color="CCCCCC"/>
                        <w:bottom w:val="single" w:sz="6" w:space="0" w:color="CCCCCC"/>
                        <w:right w:val="single" w:sz="6" w:space="0" w:color="CCCCCC"/>
                      </w:divBdr>
                      <w:divsChild>
                        <w:div w:id="784664538">
                          <w:marLeft w:val="0"/>
                          <w:marRight w:val="0"/>
                          <w:marTop w:val="0"/>
                          <w:marBottom w:val="0"/>
                          <w:divBdr>
                            <w:top w:val="none" w:sz="0" w:space="0" w:color="auto"/>
                            <w:left w:val="none" w:sz="0" w:space="0" w:color="auto"/>
                            <w:bottom w:val="none" w:sz="0" w:space="0" w:color="auto"/>
                            <w:right w:val="none" w:sz="0" w:space="0" w:color="auto"/>
                          </w:divBdr>
                          <w:divsChild>
                            <w:div w:id="1493326815">
                              <w:marLeft w:val="0"/>
                              <w:marRight w:val="0"/>
                              <w:marTop w:val="0"/>
                              <w:marBottom w:val="0"/>
                              <w:divBdr>
                                <w:top w:val="none" w:sz="0" w:space="0" w:color="auto"/>
                                <w:left w:val="none" w:sz="0" w:space="0" w:color="auto"/>
                                <w:bottom w:val="none" w:sz="0" w:space="0" w:color="auto"/>
                                <w:right w:val="none" w:sz="0" w:space="0" w:color="auto"/>
                              </w:divBdr>
                              <w:divsChild>
                                <w:div w:id="7542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811079">
      <w:bodyDiv w:val="1"/>
      <w:marLeft w:val="0"/>
      <w:marRight w:val="0"/>
      <w:marTop w:val="0"/>
      <w:marBottom w:val="0"/>
      <w:divBdr>
        <w:top w:val="none" w:sz="0" w:space="0" w:color="auto"/>
        <w:left w:val="none" w:sz="0" w:space="0" w:color="auto"/>
        <w:bottom w:val="none" w:sz="0" w:space="0" w:color="auto"/>
        <w:right w:val="none" w:sz="0" w:space="0" w:color="auto"/>
      </w:divBdr>
      <w:divsChild>
        <w:div w:id="1307858084">
          <w:marLeft w:val="0"/>
          <w:marRight w:val="0"/>
          <w:marTop w:val="0"/>
          <w:marBottom w:val="0"/>
          <w:divBdr>
            <w:top w:val="none" w:sz="0" w:space="0" w:color="auto"/>
            <w:left w:val="none" w:sz="0" w:space="0" w:color="auto"/>
            <w:bottom w:val="none" w:sz="0" w:space="0" w:color="auto"/>
            <w:right w:val="none" w:sz="0" w:space="0" w:color="auto"/>
          </w:divBdr>
          <w:divsChild>
            <w:div w:id="14356113">
              <w:marLeft w:val="0"/>
              <w:marRight w:val="0"/>
              <w:marTop w:val="0"/>
              <w:marBottom w:val="0"/>
              <w:divBdr>
                <w:top w:val="single" w:sz="2" w:space="0" w:color="CCCCCC"/>
                <w:left w:val="single" w:sz="2" w:space="0" w:color="CCCCCC"/>
                <w:bottom w:val="single" w:sz="2" w:space="0" w:color="CCCCCC"/>
                <w:right w:val="single" w:sz="2" w:space="0" w:color="CCCCCC"/>
              </w:divBdr>
              <w:divsChild>
                <w:div w:id="827138711">
                  <w:marLeft w:val="0"/>
                  <w:marRight w:val="0"/>
                  <w:marTop w:val="0"/>
                  <w:marBottom w:val="0"/>
                  <w:divBdr>
                    <w:top w:val="none" w:sz="0" w:space="0" w:color="auto"/>
                    <w:left w:val="none" w:sz="0" w:space="0" w:color="auto"/>
                    <w:bottom w:val="none" w:sz="0" w:space="0" w:color="auto"/>
                    <w:right w:val="none" w:sz="0" w:space="0" w:color="auto"/>
                  </w:divBdr>
                  <w:divsChild>
                    <w:div w:id="2047413740">
                      <w:marLeft w:val="0"/>
                      <w:marRight w:val="0"/>
                      <w:marTop w:val="0"/>
                      <w:marBottom w:val="0"/>
                      <w:divBdr>
                        <w:top w:val="single" w:sz="6" w:space="0" w:color="CCCCCC"/>
                        <w:left w:val="single" w:sz="6" w:space="0" w:color="CCCCCC"/>
                        <w:bottom w:val="single" w:sz="6" w:space="0" w:color="CCCCCC"/>
                        <w:right w:val="single" w:sz="6" w:space="0" w:color="CCCCCC"/>
                      </w:divBdr>
                      <w:divsChild>
                        <w:div w:id="2104643282">
                          <w:marLeft w:val="0"/>
                          <w:marRight w:val="0"/>
                          <w:marTop w:val="0"/>
                          <w:marBottom w:val="0"/>
                          <w:divBdr>
                            <w:top w:val="none" w:sz="0" w:space="0" w:color="auto"/>
                            <w:left w:val="none" w:sz="0" w:space="0" w:color="auto"/>
                            <w:bottom w:val="none" w:sz="0" w:space="0" w:color="auto"/>
                            <w:right w:val="none" w:sz="0" w:space="0" w:color="auto"/>
                          </w:divBdr>
                          <w:divsChild>
                            <w:div w:id="1889225032">
                              <w:marLeft w:val="0"/>
                              <w:marRight w:val="0"/>
                              <w:marTop w:val="0"/>
                              <w:marBottom w:val="0"/>
                              <w:divBdr>
                                <w:top w:val="none" w:sz="0" w:space="0" w:color="auto"/>
                                <w:left w:val="none" w:sz="0" w:space="0" w:color="auto"/>
                                <w:bottom w:val="none" w:sz="0" w:space="0" w:color="auto"/>
                                <w:right w:val="none" w:sz="0" w:space="0" w:color="auto"/>
                              </w:divBdr>
                              <w:divsChild>
                                <w:div w:id="164229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127122">
      <w:bodyDiv w:val="1"/>
      <w:marLeft w:val="0"/>
      <w:marRight w:val="0"/>
      <w:marTop w:val="0"/>
      <w:marBottom w:val="0"/>
      <w:divBdr>
        <w:top w:val="none" w:sz="0" w:space="0" w:color="auto"/>
        <w:left w:val="none" w:sz="0" w:space="0" w:color="auto"/>
        <w:bottom w:val="none" w:sz="0" w:space="0" w:color="auto"/>
        <w:right w:val="none" w:sz="0" w:space="0" w:color="auto"/>
      </w:divBdr>
      <w:divsChild>
        <w:div w:id="1162357952">
          <w:marLeft w:val="0"/>
          <w:marRight w:val="0"/>
          <w:marTop w:val="0"/>
          <w:marBottom w:val="0"/>
          <w:divBdr>
            <w:top w:val="none" w:sz="0" w:space="0" w:color="auto"/>
            <w:left w:val="none" w:sz="0" w:space="0" w:color="auto"/>
            <w:bottom w:val="none" w:sz="0" w:space="0" w:color="auto"/>
            <w:right w:val="none" w:sz="0" w:space="0" w:color="auto"/>
          </w:divBdr>
          <w:divsChild>
            <w:div w:id="1915584116">
              <w:marLeft w:val="0"/>
              <w:marRight w:val="0"/>
              <w:marTop w:val="0"/>
              <w:marBottom w:val="0"/>
              <w:divBdr>
                <w:top w:val="single" w:sz="2" w:space="0" w:color="CCCCCC"/>
                <w:left w:val="single" w:sz="2" w:space="0" w:color="CCCCCC"/>
                <w:bottom w:val="single" w:sz="2" w:space="0" w:color="CCCCCC"/>
                <w:right w:val="single" w:sz="2" w:space="0" w:color="CCCCCC"/>
              </w:divBdr>
              <w:divsChild>
                <w:div w:id="347829456">
                  <w:marLeft w:val="0"/>
                  <w:marRight w:val="0"/>
                  <w:marTop w:val="0"/>
                  <w:marBottom w:val="0"/>
                  <w:divBdr>
                    <w:top w:val="none" w:sz="0" w:space="0" w:color="auto"/>
                    <w:left w:val="none" w:sz="0" w:space="0" w:color="auto"/>
                    <w:bottom w:val="none" w:sz="0" w:space="0" w:color="auto"/>
                    <w:right w:val="none" w:sz="0" w:space="0" w:color="auto"/>
                  </w:divBdr>
                  <w:divsChild>
                    <w:div w:id="688793480">
                      <w:marLeft w:val="0"/>
                      <w:marRight w:val="0"/>
                      <w:marTop w:val="0"/>
                      <w:marBottom w:val="0"/>
                      <w:divBdr>
                        <w:top w:val="single" w:sz="6" w:space="0" w:color="CCCCCC"/>
                        <w:left w:val="single" w:sz="6" w:space="0" w:color="CCCCCC"/>
                        <w:bottom w:val="single" w:sz="6" w:space="0" w:color="CCCCCC"/>
                        <w:right w:val="single" w:sz="6" w:space="0" w:color="CCCCCC"/>
                      </w:divBdr>
                      <w:divsChild>
                        <w:div w:id="258609121">
                          <w:marLeft w:val="0"/>
                          <w:marRight w:val="0"/>
                          <w:marTop w:val="0"/>
                          <w:marBottom w:val="0"/>
                          <w:divBdr>
                            <w:top w:val="none" w:sz="0" w:space="0" w:color="auto"/>
                            <w:left w:val="none" w:sz="0" w:space="0" w:color="auto"/>
                            <w:bottom w:val="none" w:sz="0" w:space="0" w:color="auto"/>
                            <w:right w:val="none" w:sz="0" w:space="0" w:color="auto"/>
                          </w:divBdr>
                          <w:divsChild>
                            <w:div w:id="871188722">
                              <w:marLeft w:val="0"/>
                              <w:marRight w:val="0"/>
                              <w:marTop w:val="0"/>
                              <w:marBottom w:val="0"/>
                              <w:divBdr>
                                <w:top w:val="none" w:sz="0" w:space="0" w:color="auto"/>
                                <w:left w:val="none" w:sz="0" w:space="0" w:color="auto"/>
                                <w:bottom w:val="none" w:sz="0" w:space="0" w:color="auto"/>
                                <w:right w:val="none" w:sz="0" w:space="0" w:color="auto"/>
                              </w:divBdr>
                              <w:divsChild>
                                <w:div w:id="136501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212749">
      <w:bodyDiv w:val="1"/>
      <w:marLeft w:val="0"/>
      <w:marRight w:val="0"/>
      <w:marTop w:val="0"/>
      <w:marBottom w:val="0"/>
      <w:divBdr>
        <w:top w:val="none" w:sz="0" w:space="0" w:color="auto"/>
        <w:left w:val="none" w:sz="0" w:space="0" w:color="auto"/>
        <w:bottom w:val="none" w:sz="0" w:space="0" w:color="auto"/>
        <w:right w:val="none" w:sz="0" w:space="0" w:color="auto"/>
      </w:divBdr>
      <w:divsChild>
        <w:div w:id="630091492">
          <w:marLeft w:val="0"/>
          <w:marRight w:val="0"/>
          <w:marTop w:val="0"/>
          <w:marBottom w:val="0"/>
          <w:divBdr>
            <w:top w:val="none" w:sz="0" w:space="0" w:color="auto"/>
            <w:left w:val="none" w:sz="0" w:space="0" w:color="auto"/>
            <w:bottom w:val="none" w:sz="0" w:space="0" w:color="auto"/>
            <w:right w:val="none" w:sz="0" w:space="0" w:color="auto"/>
          </w:divBdr>
          <w:divsChild>
            <w:div w:id="1422989691">
              <w:marLeft w:val="0"/>
              <w:marRight w:val="0"/>
              <w:marTop w:val="0"/>
              <w:marBottom w:val="0"/>
              <w:divBdr>
                <w:top w:val="single" w:sz="2" w:space="0" w:color="CCCCCC"/>
                <w:left w:val="single" w:sz="2" w:space="0" w:color="CCCCCC"/>
                <w:bottom w:val="single" w:sz="2" w:space="0" w:color="CCCCCC"/>
                <w:right w:val="single" w:sz="2" w:space="0" w:color="CCCCCC"/>
              </w:divBdr>
              <w:divsChild>
                <w:div w:id="1637485007">
                  <w:marLeft w:val="0"/>
                  <w:marRight w:val="0"/>
                  <w:marTop w:val="0"/>
                  <w:marBottom w:val="0"/>
                  <w:divBdr>
                    <w:top w:val="none" w:sz="0" w:space="0" w:color="auto"/>
                    <w:left w:val="none" w:sz="0" w:space="0" w:color="auto"/>
                    <w:bottom w:val="none" w:sz="0" w:space="0" w:color="auto"/>
                    <w:right w:val="none" w:sz="0" w:space="0" w:color="auto"/>
                  </w:divBdr>
                  <w:divsChild>
                    <w:div w:id="542713010">
                      <w:marLeft w:val="0"/>
                      <w:marRight w:val="0"/>
                      <w:marTop w:val="0"/>
                      <w:marBottom w:val="0"/>
                      <w:divBdr>
                        <w:top w:val="single" w:sz="6" w:space="0" w:color="CCCCCC"/>
                        <w:left w:val="single" w:sz="6" w:space="0" w:color="CCCCCC"/>
                        <w:bottom w:val="single" w:sz="6" w:space="0" w:color="CCCCCC"/>
                        <w:right w:val="single" w:sz="6" w:space="0" w:color="CCCCCC"/>
                      </w:divBdr>
                      <w:divsChild>
                        <w:div w:id="1039014584">
                          <w:marLeft w:val="0"/>
                          <w:marRight w:val="0"/>
                          <w:marTop w:val="0"/>
                          <w:marBottom w:val="0"/>
                          <w:divBdr>
                            <w:top w:val="none" w:sz="0" w:space="0" w:color="auto"/>
                            <w:left w:val="none" w:sz="0" w:space="0" w:color="auto"/>
                            <w:bottom w:val="none" w:sz="0" w:space="0" w:color="auto"/>
                            <w:right w:val="none" w:sz="0" w:space="0" w:color="auto"/>
                          </w:divBdr>
                          <w:divsChild>
                            <w:div w:id="1020856359">
                              <w:marLeft w:val="0"/>
                              <w:marRight w:val="0"/>
                              <w:marTop w:val="0"/>
                              <w:marBottom w:val="0"/>
                              <w:divBdr>
                                <w:top w:val="none" w:sz="0" w:space="0" w:color="auto"/>
                                <w:left w:val="none" w:sz="0" w:space="0" w:color="auto"/>
                                <w:bottom w:val="none" w:sz="0" w:space="0" w:color="auto"/>
                                <w:right w:val="none" w:sz="0" w:space="0" w:color="auto"/>
                              </w:divBdr>
                              <w:divsChild>
                                <w:div w:id="10031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383494">
      <w:bodyDiv w:val="1"/>
      <w:marLeft w:val="0"/>
      <w:marRight w:val="0"/>
      <w:marTop w:val="0"/>
      <w:marBottom w:val="0"/>
      <w:divBdr>
        <w:top w:val="none" w:sz="0" w:space="0" w:color="auto"/>
        <w:left w:val="none" w:sz="0" w:space="0" w:color="auto"/>
        <w:bottom w:val="none" w:sz="0" w:space="0" w:color="auto"/>
        <w:right w:val="none" w:sz="0" w:space="0" w:color="auto"/>
      </w:divBdr>
      <w:divsChild>
        <w:div w:id="587153181">
          <w:marLeft w:val="0"/>
          <w:marRight w:val="0"/>
          <w:marTop w:val="0"/>
          <w:marBottom w:val="0"/>
          <w:divBdr>
            <w:top w:val="none" w:sz="0" w:space="0" w:color="auto"/>
            <w:left w:val="none" w:sz="0" w:space="0" w:color="auto"/>
            <w:bottom w:val="none" w:sz="0" w:space="0" w:color="auto"/>
            <w:right w:val="none" w:sz="0" w:space="0" w:color="auto"/>
          </w:divBdr>
          <w:divsChild>
            <w:div w:id="1242907353">
              <w:marLeft w:val="0"/>
              <w:marRight w:val="0"/>
              <w:marTop w:val="0"/>
              <w:marBottom w:val="0"/>
              <w:divBdr>
                <w:top w:val="single" w:sz="2" w:space="0" w:color="CCCCCC"/>
                <w:left w:val="single" w:sz="2" w:space="0" w:color="CCCCCC"/>
                <w:bottom w:val="single" w:sz="2" w:space="0" w:color="CCCCCC"/>
                <w:right w:val="single" w:sz="2" w:space="0" w:color="CCCCCC"/>
              </w:divBdr>
              <w:divsChild>
                <w:div w:id="1678581427">
                  <w:marLeft w:val="0"/>
                  <w:marRight w:val="0"/>
                  <w:marTop w:val="0"/>
                  <w:marBottom w:val="0"/>
                  <w:divBdr>
                    <w:top w:val="none" w:sz="0" w:space="0" w:color="auto"/>
                    <w:left w:val="none" w:sz="0" w:space="0" w:color="auto"/>
                    <w:bottom w:val="none" w:sz="0" w:space="0" w:color="auto"/>
                    <w:right w:val="none" w:sz="0" w:space="0" w:color="auto"/>
                  </w:divBdr>
                  <w:divsChild>
                    <w:div w:id="1064720293">
                      <w:marLeft w:val="0"/>
                      <w:marRight w:val="0"/>
                      <w:marTop w:val="0"/>
                      <w:marBottom w:val="0"/>
                      <w:divBdr>
                        <w:top w:val="single" w:sz="6" w:space="0" w:color="CCCCCC"/>
                        <w:left w:val="single" w:sz="6" w:space="0" w:color="CCCCCC"/>
                        <w:bottom w:val="single" w:sz="6" w:space="0" w:color="CCCCCC"/>
                        <w:right w:val="single" w:sz="6" w:space="0" w:color="CCCCCC"/>
                      </w:divBdr>
                      <w:divsChild>
                        <w:div w:id="521941010">
                          <w:marLeft w:val="0"/>
                          <w:marRight w:val="0"/>
                          <w:marTop w:val="0"/>
                          <w:marBottom w:val="0"/>
                          <w:divBdr>
                            <w:top w:val="none" w:sz="0" w:space="0" w:color="auto"/>
                            <w:left w:val="none" w:sz="0" w:space="0" w:color="auto"/>
                            <w:bottom w:val="none" w:sz="0" w:space="0" w:color="auto"/>
                            <w:right w:val="none" w:sz="0" w:space="0" w:color="auto"/>
                          </w:divBdr>
                          <w:divsChild>
                            <w:div w:id="1766416952">
                              <w:marLeft w:val="0"/>
                              <w:marRight w:val="0"/>
                              <w:marTop w:val="0"/>
                              <w:marBottom w:val="0"/>
                              <w:divBdr>
                                <w:top w:val="none" w:sz="0" w:space="0" w:color="auto"/>
                                <w:left w:val="none" w:sz="0" w:space="0" w:color="auto"/>
                                <w:bottom w:val="none" w:sz="0" w:space="0" w:color="auto"/>
                                <w:right w:val="none" w:sz="0" w:space="0" w:color="auto"/>
                              </w:divBdr>
                              <w:divsChild>
                                <w:div w:id="3732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869051">
      <w:bodyDiv w:val="1"/>
      <w:marLeft w:val="0"/>
      <w:marRight w:val="0"/>
      <w:marTop w:val="0"/>
      <w:marBottom w:val="0"/>
      <w:divBdr>
        <w:top w:val="none" w:sz="0" w:space="0" w:color="auto"/>
        <w:left w:val="none" w:sz="0" w:space="0" w:color="auto"/>
        <w:bottom w:val="none" w:sz="0" w:space="0" w:color="auto"/>
        <w:right w:val="none" w:sz="0" w:space="0" w:color="auto"/>
      </w:divBdr>
      <w:divsChild>
        <w:div w:id="503478743">
          <w:marLeft w:val="0"/>
          <w:marRight w:val="0"/>
          <w:marTop w:val="0"/>
          <w:marBottom w:val="0"/>
          <w:divBdr>
            <w:top w:val="none" w:sz="0" w:space="0" w:color="auto"/>
            <w:left w:val="none" w:sz="0" w:space="0" w:color="auto"/>
            <w:bottom w:val="none" w:sz="0" w:space="0" w:color="auto"/>
            <w:right w:val="none" w:sz="0" w:space="0" w:color="auto"/>
          </w:divBdr>
          <w:divsChild>
            <w:div w:id="761799600">
              <w:marLeft w:val="0"/>
              <w:marRight w:val="0"/>
              <w:marTop w:val="0"/>
              <w:marBottom w:val="0"/>
              <w:divBdr>
                <w:top w:val="single" w:sz="2" w:space="0" w:color="CCCCCC"/>
                <w:left w:val="single" w:sz="2" w:space="0" w:color="CCCCCC"/>
                <w:bottom w:val="single" w:sz="2" w:space="0" w:color="CCCCCC"/>
                <w:right w:val="single" w:sz="2" w:space="0" w:color="CCCCCC"/>
              </w:divBdr>
              <w:divsChild>
                <w:div w:id="189883343">
                  <w:marLeft w:val="0"/>
                  <w:marRight w:val="0"/>
                  <w:marTop w:val="0"/>
                  <w:marBottom w:val="0"/>
                  <w:divBdr>
                    <w:top w:val="none" w:sz="0" w:space="0" w:color="auto"/>
                    <w:left w:val="none" w:sz="0" w:space="0" w:color="auto"/>
                    <w:bottom w:val="none" w:sz="0" w:space="0" w:color="auto"/>
                    <w:right w:val="none" w:sz="0" w:space="0" w:color="auto"/>
                  </w:divBdr>
                  <w:divsChild>
                    <w:div w:id="1415124166">
                      <w:marLeft w:val="0"/>
                      <w:marRight w:val="0"/>
                      <w:marTop w:val="0"/>
                      <w:marBottom w:val="0"/>
                      <w:divBdr>
                        <w:top w:val="single" w:sz="6" w:space="0" w:color="CCCCCC"/>
                        <w:left w:val="single" w:sz="6" w:space="0" w:color="CCCCCC"/>
                        <w:bottom w:val="single" w:sz="6" w:space="0" w:color="CCCCCC"/>
                        <w:right w:val="single" w:sz="6" w:space="0" w:color="CCCCCC"/>
                      </w:divBdr>
                      <w:divsChild>
                        <w:div w:id="517963063">
                          <w:marLeft w:val="0"/>
                          <w:marRight w:val="0"/>
                          <w:marTop w:val="0"/>
                          <w:marBottom w:val="0"/>
                          <w:divBdr>
                            <w:top w:val="none" w:sz="0" w:space="0" w:color="auto"/>
                            <w:left w:val="none" w:sz="0" w:space="0" w:color="auto"/>
                            <w:bottom w:val="none" w:sz="0" w:space="0" w:color="auto"/>
                            <w:right w:val="none" w:sz="0" w:space="0" w:color="auto"/>
                          </w:divBdr>
                          <w:divsChild>
                            <w:div w:id="1973361480">
                              <w:marLeft w:val="0"/>
                              <w:marRight w:val="0"/>
                              <w:marTop w:val="0"/>
                              <w:marBottom w:val="0"/>
                              <w:divBdr>
                                <w:top w:val="none" w:sz="0" w:space="0" w:color="auto"/>
                                <w:left w:val="none" w:sz="0" w:space="0" w:color="auto"/>
                                <w:bottom w:val="none" w:sz="0" w:space="0" w:color="auto"/>
                                <w:right w:val="none" w:sz="0" w:space="0" w:color="auto"/>
                              </w:divBdr>
                              <w:divsChild>
                                <w:div w:id="2725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de.com/fide/handbook.html?id=69&amp;view=article" TargetMode="External"/><Relationship Id="rId13" Type="http://schemas.openxmlformats.org/officeDocument/2006/relationships/hyperlink" Target="http://www.fide.com/fide/handbook.html?id=74&amp;view=articl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ide.com/fide/handbook.html?id=68&amp;view=article" TargetMode="External"/><Relationship Id="rId12" Type="http://schemas.openxmlformats.org/officeDocument/2006/relationships/hyperlink" Target="http://www.fide.com/fide/handbook.html?id=73&amp;view=article" TargetMode="External"/><Relationship Id="rId17" Type="http://schemas.openxmlformats.org/officeDocument/2006/relationships/hyperlink" Target="http://www.fide.com/fide/handbook.html?id=81&amp;view=article" TargetMode="External"/><Relationship Id="rId2" Type="http://schemas.openxmlformats.org/officeDocument/2006/relationships/settings" Target="settings.xml"/><Relationship Id="rId16" Type="http://schemas.openxmlformats.org/officeDocument/2006/relationships/hyperlink" Target="http://www.fide.com/fide/handbook.html?id=77&amp;view=article" TargetMode="External"/><Relationship Id="rId1" Type="http://schemas.openxmlformats.org/officeDocument/2006/relationships/styles" Target="styles.xml"/><Relationship Id="rId6" Type="http://schemas.openxmlformats.org/officeDocument/2006/relationships/hyperlink" Target="http://www.fide.com/fide/handbook.html?id=67&amp;view=article" TargetMode="External"/><Relationship Id="rId11" Type="http://schemas.openxmlformats.org/officeDocument/2006/relationships/hyperlink" Target="http://www.fide.com/fide/handbook.html?id=72&amp;view=article" TargetMode="External"/><Relationship Id="rId5" Type="http://schemas.openxmlformats.org/officeDocument/2006/relationships/hyperlink" Target="http://www.fide.com/fide/handbook.html?id=66&amp;view=article" TargetMode="External"/><Relationship Id="rId15" Type="http://schemas.openxmlformats.org/officeDocument/2006/relationships/hyperlink" Target="http://www.fide.com/fide/handbook.html?id=76&amp;view=article" TargetMode="External"/><Relationship Id="rId10" Type="http://schemas.openxmlformats.org/officeDocument/2006/relationships/hyperlink" Target="http://www.fide.com/fide/handbook.html?id=71&amp;view=article" TargetMode="External"/><Relationship Id="rId19" Type="http://schemas.openxmlformats.org/officeDocument/2006/relationships/theme" Target="theme/theme1.xml"/><Relationship Id="rId4" Type="http://schemas.openxmlformats.org/officeDocument/2006/relationships/hyperlink" Target="http://www.fide.com/fide/handbook.html?id=65&amp;view=article" TargetMode="External"/><Relationship Id="rId9" Type="http://schemas.openxmlformats.org/officeDocument/2006/relationships/hyperlink" Target="http://www.fide.com/fide/handbook.html?id=70&amp;view=article" TargetMode="External"/><Relationship Id="rId14" Type="http://schemas.openxmlformats.org/officeDocument/2006/relationships/hyperlink" Target="http://www.fide.com/fide/handbook.html?id=75&amp;view=article"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3351</Words>
  <Characters>19103</Characters>
  <Application>Microsoft Office Word</Application>
  <DocSecurity>0</DocSecurity>
  <Lines>159</Lines>
  <Paragraphs>44</Paragraphs>
  <ScaleCrop>false</ScaleCrop>
  <Company>Your Company Name</Company>
  <LinksUpToDate>false</LinksUpToDate>
  <CharactersWithSpaces>22410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2012-01-10T20:23:00Z</dcterms:created>
  <dcterms:modified xsi:type="dcterms:W3CDTF">2012-01-10T20:34:00Z</dcterms:modified>
</cp:coreProperties>
</file>